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000A1F" w14:textId="7495C770" w:rsidR="004C1E9D" w:rsidRPr="00B667AE" w:rsidRDefault="00F86B03">
      <w:pPr>
        <w:rPr>
          <w:b/>
          <w:bCs/>
          <w:sz w:val="24"/>
          <w:szCs w:val="24"/>
        </w:rPr>
      </w:pPr>
      <w:r w:rsidRPr="00B667AE">
        <w:rPr>
          <w:b/>
          <w:bCs/>
          <w:sz w:val="24"/>
          <w:szCs w:val="24"/>
        </w:rPr>
        <w:t>Climate Change and Soil Carbon Sequestration: References</w:t>
      </w:r>
    </w:p>
    <w:p w14:paraId="31111337" w14:textId="771B04D0" w:rsidR="00720719" w:rsidRPr="00B667AE" w:rsidRDefault="00720719">
      <w:pPr>
        <w:rPr>
          <w:b/>
          <w:bCs/>
          <w:sz w:val="24"/>
          <w:szCs w:val="24"/>
        </w:rPr>
      </w:pPr>
    </w:p>
    <w:p w14:paraId="6294859D" w14:textId="0989265F" w:rsidR="00720719" w:rsidRPr="00B667AE" w:rsidRDefault="00720719">
      <w:pPr>
        <w:rPr>
          <w:b/>
          <w:bCs/>
          <w:sz w:val="24"/>
          <w:szCs w:val="24"/>
        </w:rPr>
      </w:pPr>
      <w:r w:rsidRPr="00B667AE">
        <w:rPr>
          <w:b/>
          <w:bCs/>
          <w:sz w:val="24"/>
          <w:szCs w:val="24"/>
        </w:rPr>
        <w:t>Global Level</w:t>
      </w:r>
    </w:p>
    <w:p w14:paraId="6D91B67E" w14:textId="0A12F185" w:rsidR="000B4F25" w:rsidRDefault="000B4F25">
      <w:pPr>
        <w:rPr>
          <w:b/>
          <w:bCs/>
        </w:rPr>
      </w:pPr>
    </w:p>
    <w:p w14:paraId="4D5ED165" w14:textId="5186BB8E" w:rsidR="00720719" w:rsidRPr="006E4A46" w:rsidRDefault="006E4A46" w:rsidP="003D7D11">
      <w:pPr>
        <w:pStyle w:val="ListParagraph"/>
        <w:numPr>
          <w:ilvl w:val="0"/>
          <w:numId w:val="3"/>
        </w:numPr>
        <w:autoSpaceDE w:val="0"/>
        <w:autoSpaceDN w:val="0"/>
        <w:adjustRightInd w:val="0"/>
        <w:spacing w:after="0" w:line="240" w:lineRule="auto"/>
        <w:rPr>
          <w:rFonts w:ascii="Calibri" w:hAnsi="Calibri" w:cs="Calibri"/>
          <w:color w:val="1155CD"/>
          <w:sz w:val="24"/>
          <w:szCs w:val="24"/>
        </w:rPr>
      </w:pPr>
      <w:r w:rsidRPr="006E4A46">
        <w:rPr>
          <w:rFonts w:ascii="Calibri" w:hAnsi="Calibri" w:cs="Calibri"/>
          <w:b/>
          <w:bCs/>
          <w:color w:val="222222"/>
          <w:sz w:val="24"/>
          <w:szCs w:val="24"/>
        </w:rPr>
        <w:t xml:space="preserve">Bronson W. </w:t>
      </w:r>
      <w:proofErr w:type="spellStart"/>
      <w:r w:rsidRPr="006E4A46">
        <w:rPr>
          <w:rFonts w:ascii="Calibri" w:hAnsi="Calibri" w:cs="Calibri"/>
          <w:b/>
          <w:bCs/>
          <w:color w:val="222222"/>
          <w:sz w:val="24"/>
          <w:szCs w:val="24"/>
        </w:rPr>
        <w:t>Griscom</w:t>
      </w:r>
      <w:proofErr w:type="spellEnd"/>
      <w:r w:rsidRPr="006E4A46">
        <w:rPr>
          <w:rFonts w:ascii="Calibri" w:hAnsi="Calibri" w:cs="Calibri"/>
          <w:b/>
          <w:bCs/>
          <w:color w:val="222222"/>
          <w:sz w:val="24"/>
          <w:szCs w:val="24"/>
        </w:rPr>
        <w:t>, Justin Adams, Peter W. Ellis, Richard A. Houghton</w:t>
      </w:r>
      <w:r w:rsidRPr="006E4A46">
        <w:rPr>
          <w:rFonts w:ascii="Calibri" w:hAnsi="Calibri" w:cs="Calibri"/>
          <w:b/>
          <w:bCs/>
          <w:color w:val="222222"/>
          <w:sz w:val="24"/>
          <w:szCs w:val="24"/>
        </w:rPr>
        <w:t xml:space="preserve">, </w:t>
      </w:r>
      <w:r w:rsidR="00720719" w:rsidRPr="006E4A46">
        <w:rPr>
          <w:rFonts w:ascii="Calibri" w:hAnsi="Calibri" w:cs="Calibri"/>
          <w:b/>
          <w:bCs/>
          <w:color w:val="222222"/>
          <w:sz w:val="24"/>
          <w:szCs w:val="24"/>
        </w:rPr>
        <w:t>et al. Natural Climate Solutions. PNAS October 31, 2017 114(44) 11645-11650</w:t>
      </w:r>
      <w:r w:rsidRPr="006E4A46">
        <w:rPr>
          <w:rFonts w:ascii="Calibri" w:hAnsi="Calibri" w:cs="Calibri"/>
          <w:b/>
          <w:bCs/>
          <w:color w:val="222222"/>
          <w:sz w:val="24"/>
          <w:szCs w:val="24"/>
        </w:rPr>
        <w:t xml:space="preserve"> </w:t>
      </w:r>
      <w:r w:rsidRPr="006E4A46">
        <w:rPr>
          <w:rFonts w:ascii="Calibri" w:hAnsi="Calibri" w:cs="Calibri"/>
          <w:color w:val="222222"/>
          <w:sz w:val="24"/>
          <w:szCs w:val="24"/>
        </w:rPr>
        <w:t xml:space="preserve">at </w:t>
      </w:r>
      <w:hyperlink r:id="rId5" w:history="1">
        <w:r w:rsidR="00BE28CD" w:rsidRPr="004767F1">
          <w:rPr>
            <w:rStyle w:val="Hyperlink"/>
            <w:rFonts w:ascii="Calibri" w:hAnsi="Calibri" w:cs="Calibri"/>
            <w:sz w:val="24"/>
            <w:szCs w:val="24"/>
          </w:rPr>
          <w:t>https://www.pnas.org/content/pnas/114/44/11645.full.pdf</w:t>
        </w:r>
      </w:hyperlink>
      <w:r w:rsidR="00BE28CD">
        <w:rPr>
          <w:rFonts w:ascii="Calibri" w:hAnsi="Calibri" w:cs="Calibri"/>
          <w:color w:val="1155CD"/>
          <w:sz w:val="24"/>
          <w:szCs w:val="24"/>
        </w:rPr>
        <w:br/>
      </w:r>
    </w:p>
    <w:p w14:paraId="1FBA434D" w14:textId="388A752A" w:rsidR="006E4A46" w:rsidRDefault="006E4A46" w:rsidP="00720719">
      <w:r w:rsidRPr="006E4A46">
        <w:t>Better stewardship of land is needed to achieve the Paris Climate</w:t>
      </w:r>
      <w:r>
        <w:t xml:space="preserve"> </w:t>
      </w:r>
      <w:r w:rsidRPr="006E4A46">
        <w:t>Agreement goal of holding warming to below 2 °C; however, confusion persists about the specific set of land stewardship options</w:t>
      </w:r>
      <w:r>
        <w:t xml:space="preserve"> </w:t>
      </w:r>
      <w:r w:rsidRPr="006E4A46">
        <w:t xml:space="preserve">available and their mitigation potential. To address this, </w:t>
      </w:r>
      <w:r w:rsidRPr="006E4A46">
        <w:rPr>
          <w:highlight w:val="yellow"/>
        </w:rPr>
        <w:t>we identify</w:t>
      </w:r>
      <w:r w:rsidRPr="006E4A46">
        <w:rPr>
          <w:highlight w:val="yellow"/>
        </w:rPr>
        <w:t xml:space="preserve"> </w:t>
      </w:r>
      <w:r w:rsidRPr="006E4A46">
        <w:rPr>
          <w:highlight w:val="yellow"/>
        </w:rPr>
        <w:t>and quantify</w:t>
      </w:r>
      <w:r w:rsidRPr="006E4A46">
        <w:rPr>
          <w:highlight w:val="yellow"/>
        </w:rPr>
        <w:t xml:space="preserve"> </w:t>
      </w:r>
      <w:r w:rsidRPr="006E4A46">
        <w:rPr>
          <w:highlight w:val="yellow"/>
        </w:rPr>
        <w:t>“natural climate solutions”</w:t>
      </w:r>
      <w:r w:rsidRPr="006E4A46">
        <w:rPr>
          <w:highlight w:val="yellow"/>
        </w:rPr>
        <w:t xml:space="preserve"> </w:t>
      </w:r>
      <w:r w:rsidRPr="006E4A46">
        <w:rPr>
          <w:highlight w:val="yellow"/>
        </w:rPr>
        <w:t>(NCS): 20 conservation, restoration, and improved land management actions that increase carbon storage and/or avoid greenhouse gas emissions across global</w:t>
      </w:r>
      <w:r w:rsidRPr="006E4A46">
        <w:rPr>
          <w:highlight w:val="yellow"/>
        </w:rPr>
        <w:t xml:space="preserve"> </w:t>
      </w:r>
      <w:r w:rsidRPr="006E4A46">
        <w:rPr>
          <w:highlight w:val="yellow"/>
        </w:rPr>
        <w:t>forests, wetlands, grasslands, and agricultural lands. We find that</w:t>
      </w:r>
      <w:r w:rsidRPr="006E4A46">
        <w:rPr>
          <w:highlight w:val="yellow"/>
        </w:rPr>
        <w:t xml:space="preserve"> </w:t>
      </w:r>
      <w:r w:rsidRPr="006E4A46">
        <w:rPr>
          <w:highlight w:val="yellow"/>
        </w:rPr>
        <w:t>the maximum potential of NCS—when constrained by food security,</w:t>
      </w:r>
      <w:r w:rsidRPr="006E4A46">
        <w:rPr>
          <w:highlight w:val="yellow"/>
        </w:rPr>
        <w:t xml:space="preserve"> </w:t>
      </w:r>
      <w:r w:rsidRPr="006E4A46">
        <w:rPr>
          <w:highlight w:val="yellow"/>
        </w:rPr>
        <w:t>fiber security, and biodiversity conservation—is 23.8 petagrams of</w:t>
      </w:r>
      <w:r w:rsidRPr="006E4A46">
        <w:rPr>
          <w:highlight w:val="yellow"/>
        </w:rPr>
        <w:t xml:space="preserve"> </w:t>
      </w:r>
      <w:r w:rsidRPr="006E4A46">
        <w:rPr>
          <w:highlight w:val="yellow"/>
        </w:rPr>
        <w:t>CO2</w:t>
      </w:r>
      <w:r w:rsidRPr="006E4A46">
        <w:rPr>
          <w:highlight w:val="yellow"/>
        </w:rPr>
        <w:t xml:space="preserve"> </w:t>
      </w:r>
      <w:r w:rsidRPr="006E4A46">
        <w:rPr>
          <w:highlight w:val="yellow"/>
        </w:rPr>
        <w:t>equivalent (PgCO2e) y−1(95% CI 20.3–37.4). This is≥</w:t>
      </w:r>
      <w:r w:rsidRPr="006E4A46">
        <w:rPr>
          <w:highlight w:val="yellow"/>
        </w:rPr>
        <w:t xml:space="preserve"> </w:t>
      </w:r>
      <w:r w:rsidRPr="006E4A46">
        <w:rPr>
          <w:highlight w:val="yellow"/>
        </w:rPr>
        <w:t>30% higher</w:t>
      </w:r>
      <w:r w:rsidRPr="006E4A46">
        <w:rPr>
          <w:highlight w:val="yellow"/>
        </w:rPr>
        <w:t xml:space="preserve"> </w:t>
      </w:r>
      <w:r w:rsidRPr="006E4A46">
        <w:rPr>
          <w:highlight w:val="yellow"/>
        </w:rPr>
        <w:t>than prior estimates, which did not include the full range of options</w:t>
      </w:r>
      <w:r w:rsidRPr="006E4A46">
        <w:rPr>
          <w:highlight w:val="yellow"/>
        </w:rPr>
        <w:t xml:space="preserve"> </w:t>
      </w:r>
      <w:r w:rsidRPr="006E4A46">
        <w:rPr>
          <w:highlight w:val="yellow"/>
        </w:rPr>
        <w:t>and safeguards considered here.</w:t>
      </w:r>
      <w:r w:rsidRPr="006E4A46">
        <w:t xml:space="preserve"> </w:t>
      </w:r>
      <w:r w:rsidRPr="006E4A46">
        <w:rPr>
          <w:highlight w:val="yellow"/>
        </w:rPr>
        <w:t>About half of this maximum (11.3PgCO2ey−1) represents cost-effective climate mitigation, assuming</w:t>
      </w:r>
      <w:r w:rsidRPr="006E4A46">
        <w:rPr>
          <w:highlight w:val="yellow"/>
        </w:rPr>
        <w:t xml:space="preserve"> </w:t>
      </w:r>
      <w:r w:rsidRPr="006E4A46">
        <w:rPr>
          <w:highlight w:val="yellow"/>
        </w:rPr>
        <w:t>the</w:t>
      </w:r>
      <w:r w:rsidRPr="006E4A46">
        <w:rPr>
          <w:highlight w:val="yellow"/>
        </w:rPr>
        <w:t xml:space="preserve"> </w:t>
      </w:r>
      <w:r w:rsidRPr="006E4A46">
        <w:rPr>
          <w:highlight w:val="yellow"/>
        </w:rPr>
        <w:t>social</w:t>
      </w:r>
      <w:r w:rsidRPr="006E4A46">
        <w:rPr>
          <w:highlight w:val="yellow"/>
        </w:rPr>
        <w:t xml:space="preserve"> </w:t>
      </w:r>
      <w:r w:rsidRPr="006E4A46">
        <w:rPr>
          <w:highlight w:val="yellow"/>
        </w:rPr>
        <w:t>cost</w:t>
      </w:r>
      <w:r w:rsidRPr="006E4A46">
        <w:rPr>
          <w:highlight w:val="yellow"/>
        </w:rPr>
        <w:t xml:space="preserve"> </w:t>
      </w:r>
      <w:r w:rsidRPr="006E4A46">
        <w:rPr>
          <w:highlight w:val="yellow"/>
        </w:rPr>
        <w:t>of</w:t>
      </w:r>
      <w:r w:rsidRPr="006E4A46">
        <w:rPr>
          <w:highlight w:val="yellow"/>
        </w:rPr>
        <w:t xml:space="preserve"> </w:t>
      </w:r>
      <w:r w:rsidRPr="006E4A46">
        <w:rPr>
          <w:highlight w:val="yellow"/>
        </w:rPr>
        <w:t>CO2</w:t>
      </w:r>
      <w:r w:rsidRPr="006E4A46">
        <w:rPr>
          <w:highlight w:val="yellow"/>
        </w:rPr>
        <w:t xml:space="preserve"> </w:t>
      </w:r>
      <w:r w:rsidRPr="006E4A46">
        <w:rPr>
          <w:highlight w:val="yellow"/>
        </w:rPr>
        <w:t>pollution is</w:t>
      </w:r>
      <w:r w:rsidRPr="006E4A46">
        <w:rPr>
          <w:highlight w:val="yellow"/>
        </w:rPr>
        <w:t xml:space="preserve"> </w:t>
      </w:r>
      <w:r w:rsidRPr="006E4A46">
        <w:rPr>
          <w:highlight w:val="yellow"/>
        </w:rPr>
        <w:t>≥100 USD MgCO2e−1</w:t>
      </w:r>
      <w:r w:rsidRPr="006E4A46">
        <w:rPr>
          <w:highlight w:val="yellow"/>
        </w:rPr>
        <w:t xml:space="preserve"> </w:t>
      </w:r>
      <w:r w:rsidRPr="006E4A46">
        <w:rPr>
          <w:highlight w:val="yellow"/>
        </w:rPr>
        <w:t>by 2030.Natural climate solutions can provide 37% of cost-effective CO2</w:t>
      </w:r>
      <w:r w:rsidRPr="006E4A46">
        <w:rPr>
          <w:highlight w:val="yellow"/>
        </w:rPr>
        <w:t xml:space="preserve"> </w:t>
      </w:r>
      <w:r w:rsidRPr="006E4A46">
        <w:rPr>
          <w:highlight w:val="yellow"/>
        </w:rPr>
        <w:t>mitigation needed through 2030 for a</w:t>
      </w:r>
      <w:r w:rsidRPr="006E4A46">
        <w:rPr>
          <w:highlight w:val="yellow"/>
        </w:rPr>
        <w:t xml:space="preserve"> </w:t>
      </w:r>
      <w:r w:rsidRPr="006E4A46">
        <w:rPr>
          <w:highlight w:val="yellow"/>
        </w:rPr>
        <w:t>&gt;66% chance of holding warming to below 2 °C. One-third of this cost-effective NCS mitigation can</w:t>
      </w:r>
      <w:r w:rsidRPr="006E4A46">
        <w:rPr>
          <w:highlight w:val="yellow"/>
        </w:rPr>
        <w:t xml:space="preserve"> </w:t>
      </w:r>
      <w:r w:rsidRPr="006E4A46">
        <w:rPr>
          <w:highlight w:val="yellow"/>
        </w:rPr>
        <w:t>be delivered at or below 10 USD MgCO2−1. Most NCS actions—if</w:t>
      </w:r>
      <w:r w:rsidRPr="006E4A46">
        <w:rPr>
          <w:highlight w:val="yellow"/>
        </w:rPr>
        <w:t xml:space="preserve"> </w:t>
      </w:r>
      <w:r w:rsidRPr="006E4A46">
        <w:rPr>
          <w:highlight w:val="yellow"/>
        </w:rPr>
        <w:t>effectively implemented—also offer water filtration, flood buffering, soil health, biodiversity habitat, and enhanced climate resilience.</w:t>
      </w:r>
      <w:r w:rsidR="00B667AE">
        <w:br/>
      </w:r>
    </w:p>
    <w:p w14:paraId="21112C5A" w14:textId="42C0B955" w:rsidR="00BE28CD" w:rsidRPr="003D7D11" w:rsidRDefault="00BE28CD" w:rsidP="003D7D11">
      <w:pPr>
        <w:pStyle w:val="ListParagraph"/>
        <w:numPr>
          <w:ilvl w:val="0"/>
          <w:numId w:val="3"/>
        </w:numPr>
        <w:rPr>
          <w:b/>
          <w:bCs/>
          <w:sz w:val="24"/>
          <w:szCs w:val="24"/>
        </w:rPr>
      </w:pPr>
      <w:r w:rsidRPr="003D7D11">
        <w:rPr>
          <w:b/>
          <w:bCs/>
          <w:sz w:val="24"/>
          <w:szCs w:val="24"/>
        </w:rPr>
        <w:t>Allie Goldstein,</w:t>
      </w:r>
      <w:r w:rsidRPr="003D7D11">
        <w:rPr>
          <w:b/>
          <w:bCs/>
          <w:sz w:val="24"/>
          <w:szCs w:val="24"/>
        </w:rPr>
        <w:t xml:space="preserve"> Will R. Turner, Seth A. Spawn, Kristina J. Anderson-Teixeira</w:t>
      </w:r>
      <w:r w:rsidRPr="003D7D11">
        <w:rPr>
          <w:b/>
          <w:bCs/>
          <w:sz w:val="24"/>
          <w:szCs w:val="24"/>
        </w:rPr>
        <w:t xml:space="preserve">, et al. </w:t>
      </w:r>
      <w:r w:rsidRPr="003D7D11">
        <w:rPr>
          <w:b/>
          <w:bCs/>
          <w:sz w:val="24"/>
          <w:szCs w:val="24"/>
        </w:rPr>
        <w:t>Protecting irrecoverable carbon in Earth’s ecosystems</w:t>
      </w:r>
      <w:r w:rsidRPr="003D7D11">
        <w:rPr>
          <w:b/>
          <w:bCs/>
          <w:sz w:val="24"/>
          <w:szCs w:val="24"/>
        </w:rPr>
        <w:t xml:space="preserve">. </w:t>
      </w:r>
      <w:r w:rsidR="001504CA" w:rsidRPr="003D7D11">
        <w:rPr>
          <w:b/>
          <w:bCs/>
          <w:sz w:val="24"/>
          <w:szCs w:val="24"/>
        </w:rPr>
        <w:t>Nature Climate Change</w:t>
      </w:r>
      <w:r w:rsidR="00922378" w:rsidRPr="003D7D11">
        <w:rPr>
          <w:b/>
          <w:bCs/>
          <w:sz w:val="24"/>
          <w:szCs w:val="24"/>
        </w:rPr>
        <w:t>,</w:t>
      </w:r>
      <w:r w:rsidR="001504CA" w:rsidRPr="003D7D11">
        <w:rPr>
          <w:b/>
          <w:bCs/>
          <w:sz w:val="24"/>
          <w:szCs w:val="24"/>
        </w:rPr>
        <w:t xml:space="preserve"> </w:t>
      </w:r>
      <w:r w:rsidR="001504CA" w:rsidRPr="003D7D11">
        <w:rPr>
          <w:rStyle w:val="u-visually-hidden"/>
          <w:b/>
          <w:bCs/>
          <w:sz w:val="24"/>
          <w:szCs w:val="24"/>
        </w:rPr>
        <w:t>volume</w:t>
      </w:r>
      <w:r w:rsidR="001504CA" w:rsidRPr="003D7D11">
        <w:rPr>
          <w:b/>
          <w:bCs/>
          <w:sz w:val="24"/>
          <w:szCs w:val="24"/>
        </w:rPr>
        <w:t> 10,</w:t>
      </w:r>
      <w:r w:rsidR="006D2E38">
        <w:rPr>
          <w:b/>
          <w:bCs/>
          <w:sz w:val="24"/>
          <w:szCs w:val="24"/>
        </w:rPr>
        <w:t xml:space="preserve"> </w:t>
      </w:r>
      <w:r w:rsidR="006D2E38" w:rsidRPr="003D7D11">
        <w:rPr>
          <w:b/>
          <w:bCs/>
          <w:sz w:val="24"/>
          <w:szCs w:val="24"/>
        </w:rPr>
        <w:t>31 March 2020,</w:t>
      </w:r>
      <w:r w:rsidR="001504CA" w:rsidRPr="003D7D11">
        <w:rPr>
          <w:b/>
          <w:bCs/>
          <w:sz w:val="24"/>
          <w:szCs w:val="24"/>
        </w:rPr>
        <w:t> </w:t>
      </w:r>
      <w:r w:rsidR="001504CA" w:rsidRPr="003D7D11">
        <w:rPr>
          <w:rStyle w:val="u-visually-hidden"/>
          <w:b/>
          <w:bCs/>
          <w:sz w:val="24"/>
          <w:szCs w:val="24"/>
        </w:rPr>
        <w:t>pages</w:t>
      </w:r>
      <w:r w:rsidR="001504CA" w:rsidRPr="003D7D11">
        <w:rPr>
          <w:rStyle w:val="u-visually-hidden"/>
          <w:b/>
          <w:bCs/>
          <w:sz w:val="24"/>
          <w:szCs w:val="24"/>
        </w:rPr>
        <w:t xml:space="preserve"> </w:t>
      </w:r>
      <w:r w:rsidR="001504CA" w:rsidRPr="003D7D11">
        <w:rPr>
          <w:b/>
          <w:bCs/>
          <w:sz w:val="24"/>
          <w:szCs w:val="24"/>
        </w:rPr>
        <w:t>287–295</w:t>
      </w:r>
      <w:r w:rsidR="001504CA" w:rsidRPr="003D7D11">
        <w:rPr>
          <w:sz w:val="24"/>
          <w:szCs w:val="24"/>
        </w:rPr>
        <w:t>.</w:t>
      </w:r>
    </w:p>
    <w:p w14:paraId="764CF834" w14:textId="49435D3A" w:rsidR="00BE28CD" w:rsidRDefault="001504CA" w:rsidP="00BE28CD">
      <w:r w:rsidRPr="001504CA">
        <w:t xml:space="preserve">Avoiding catastrophic climate change requires rapid decarbonization and improved ecosystem stewardship. To achieve the latter, ecosystems should be prioritized by responsiveness to direct, localized action and the magnitude and recoverability of their carbon stores. </w:t>
      </w:r>
      <w:r w:rsidRPr="001504CA">
        <w:rPr>
          <w:highlight w:val="yellow"/>
        </w:rPr>
        <w:t>Here, we show that a range of ecosystems contain ‘irrecoverable carbon’ that is vulnerable to release upon land use conversion and, once lost, is not recoverable on timescales relevant to avoiding dangerous climate impacts. Globally, ecosystems highly affected by human land-use decisions contain at least 260 Gt of irrecoverable carbon, with particularly high densities in peatlands, mangroves, old-growth forests and marshes. To achieve climate goals, we must safeguard these irrecoverable carbon pools through an expanded set of policy and finance strategies.</w:t>
      </w:r>
    </w:p>
    <w:p w14:paraId="385C4380" w14:textId="46965FA3" w:rsidR="006D2E38" w:rsidRDefault="006D2E38" w:rsidP="00BE28CD"/>
    <w:p w14:paraId="544B4ABF" w14:textId="32BDA74C" w:rsidR="006D2E38" w:rsidRDefault="006D2E38" w:rsidP="006D2E38">
      <w:pPr>
        <w:pStyle w:val="ListParagraph"/>
        <w:numPr>
          <w:ilvl w:val="0"/>
          <w:numId w:val="3"/>
        </w:numPr>
        <w:rPr>
          <w:rFonts w:cstheme="minorHAnsi"/>
        </w:rPr>
      </w:pPr>
      <w:r w:rsidRPr="00786B70">
        <w:rPr>
          <w:rFonts w:cstheme="minorHAnsi"/>
          <w:b/>
          <w:bCs/>
          <w:sz w:val="24"/>
          <w:szCs w:val="24"/>
        </w:rPr>
        <w:t xml:space="preserve">Pete Smith, Jean‐Francois </w:t>
      </w:r>
      <w:proofErr w:type="spellStart"/>
      <w:r w:rsidRPr="00786B70">
        <w:rPr>
          <w:rFonts w:cstheme="minorHAnsi"/>
          <w:b/>
          <w:bCs/>
          <w:sz w:val="24"/>
          <w:szCs w:val="24"/>
        </w:rPr>
        <w:t>Soussana</w:t>
      </w:r>
      <w:proofErr w:type="spellEnd"/>
      <w:r w:rsidRPr="00786B70">
        <w:rPr>
          <w:rFonts w:cstheme="minorHAnsi"/>
          <w:b/>
          <w:bCs/>
          <w:sz w:val="24"/>
          <w:szCs w:val="24"/>
        </w:rPr>
        <w:t xml:space="preserve">, Denis Angers, Louis Schipper, et al. Invited Research Review: How to measure, report and verify soil carbon change to realize the potential of soil carbon sequestration for atmospheric greenhouse gas removal. Global Change </w:t>
      </w:r>
      <w:r w:rsidRPr="00786B70">
        <w:rPr>
          <w:rFonts w:cstheme="minorHAnsi"/>
          <w:b/>
          <w:bCs/>
          <w:sz w:val="24"/>
          <w:szCs w:val="24"/>
        </w:rPr>
        <w:lastRenderedPageBreak/>
        <w:t>Biology, volume 26, issue 3, March 202</w:t>
      </w:r>
      <w:r>
        <w:rPr>
          <w:rFonts w:cstheme="minorHAnsi"/>
          <w:b/>
          <w:bCs/>
          <w:sz w:val="24"/>
          <w:szCs w:val="24"/>
        </w:rPr>
        <w:t>0</w:t>
      </w:r>
      <w:r w:rsidRPr="00786B70">
        <w:rPr>
          <w:rFonts w:cstheme="minorHAnsi"/>
          <w:b/>
          <w:bCs/>
          <w:sz w:val="24"/>
          <w:szCs w:val="24"/>
        </w:rPr>
        <w:t>, pages 219–241</w:t>
      </w:r>
      <w:r>
        <w:rPr>
          <w:rFonts w:ascii="Arial" w:hAnsi="Arial" w:cs="Arial"/>
          <w:sz w:val="17"/>
          <w:szCs w:val="17"/>
        </w:rPr>
        <w:t xml:space="preserve"> </w:t>
      </w:r>
      <w:r w:rsidRPr="006D2E38">
        <w:rPr>
          <w:rFonts w:ascii="Arial" w:hAnsi="Arial" w:cs="Arial"/>
          <w:sz w:val="17"/>
          <w:szCs w:val="17"/>
        </w:rPr>
        <w:t>at</w:t>
      </w:r>
      <w:r>
        <w:rPr>
          <w:rFonts w:ascii="Arial" w:hAnsi="Arial" w:cs="Arial"/>
          <w:b/>
          <w:bCs/>
          <w:sz w:val="17"/>
          <w:szCs w:val="17"/>
        </w:rPr>
        <w:t xml:space="preserve"> </w:t>
      </w:r>
      <w:hyperlink r:id="rId6" w:history="1">
        <w:r w:rsidRPr="004767F1">
          <w:rPr>
            <w:rStyle w:val="Hyperlink"/>
            <w:rFonts w:ascii="Arial" w:hAnsi="Arial" w:cs="Arial"/>
            <w:sz w:val="20"/>
            <w:szCs w:val="20"/>
          </w:rPr>
          <w:t>https://doi.org/10.1111/gcb.14815</w:t>
        </w:r>
      </w:hyperlink>
      <w:r w:rsidR="00B667AE">
        <w:rPr>
          <w:rFonts w:ascii="Arial" w:hAnsi="Arial" w:cs="Arial"/>
          <w:sz w:val="20"/>
          <w:szCs w:val="20"/>
        </w:rPr>
        <w:br/>
      </w:r>
      <w:r>
        <w:rPr>
          <w:rFonts w:ascii="Arial" w:hAnsi="Arial" w:cs="Arial"/>
          <w:sz w:val="20"/>
          <w:szCs w:val="20"/>
        </w:rPr>
        <w:t xml:space="preserve">   </w:t>
      </w:r>
    </w:p>
    <w:p w14:paraId="677F511C" w14:textId="77777777" w:rsidR="006D2E38" w:rsidRDefault="006D2E38" w:rsidP="006D2E38">
      <w:pPr>
        <w:rPr>
          <w:rFonts w:cstheme="minorHAnsi"/>
        </w:rPr>
      </w:pPr>
      <w:r w:rsidRPr="007321CA">
        <w:rPr>
          <w:rFonts w:cstheme="minorHAnsi"/>
        </w:rPr>
        <w:t xml:space="preserve">Soil organic carbon (SOC) represents a stock of around 1,500–2,400Gt C (~5500–8800 Gt CO2) in the top </w:t>
      </w:r>
      <w:proofErr w:type="spellStart"/>
      <w:r w:rsidRPr="007321CA">
        <w:rPr>
          <w:rFonts w:cstheme="minorHAnsi"/>
        </w:rPr>
        <w:t>metre</w:t>
      </w:r>
      <w:proofErr w:type="spellEnd"/>
      <w:r w:rsidRPr="007321CA">
        <w:rPr>
          <w:rFonts w:cstheme="minorHAnsi"/>
        </w:rPr>
        <w:t xml:space="preserve"> of soils globally (Batjes,1996; </w:t>
      </w:r>
      <w:proofErr w:type="spellStart"/>
      <w:r w:rsidRPr="007321CA">
        <w:rPr>
          <w:rFonts w:cstheme="minorHAnsi"/>
        </w:rPr>
        <w:t>Sanderman</w:t>
      </w:r>
      <w:proofErr w:type="spellEnd"/>
      <w:r w:rsidRPr="007321CA">
        <w:rPr>
          <w:rFonts w:cstheme="minorHAnsi"/>
        </w:rPr>
        <w:t xml:space="preserve">, </w:t>
      </w:r>
      <w:proofErr w:type="spellStart"/>
      <w:r w:rsidRPr="007321CA">
        <w:rPr>
          <w:rFonts w:cstheme="minorHAnsi"/>
        </w:rPr>
        <w:t>Hengl</w:t>
      </w:r>
      <w:proofErr w:type="spellEnd"/>
      <w:r w:rsidRPr="007321CA">
        <w:rPr>
          <w:rFonts w:cstheme="minorHAnsi"/>
        </w:rPr>
        <w:t xml:space="preserve">, &amp; Fiske, 2017). The lower estimate in the range is approximately three times the stock of carbon (C) in vegetation and twice the stock of C in the atmosphere (Smith, 2012). Small changes in C stocks can therefore have significant impacts on the atmosphere and climate change. </w:t>
      </w:r>
      <w:r w:rsidRPr="006D2E38">
        <w:rPr>
          <w:rFonts w:cstheme="minorHAnsi"/>
          <w:highlight w:val="yellow"/>
        </w:rPr>
        <w:t>Since the onset of agriculture around 8,000 years ago (</w:t>
      </w:r>
      <w:proofErr w:type="spellStart"/>
      <w:r w:rsidRPr="006D2E38">
        <w:rPr>
          <w:rFonts w:cstheme="minorHAnsi"/>
          <w:highlight w:val="yellow"/>
        </w:rPr>
        <w:t>Ruddiman</w:t>
      </w:r>
      <w:proofErr w:type="spellEnd"/>
      <w:r w:rsidRPr="006D2E38">
        <w:rPr>
          <w:rFonts w:cstheme="minorHAnsi"/>
          <w:highlight w:val="yellow"/>
        </w:rPr>
        <w:t xml:space="preserve">, 2005), soils have lost around 140–150 Gt C (~510–550 Gt CO2; </w:t>
      </w:r>
      <w:proofErr w:type="spellStart"/>
      <w:r w:rsidRPr="006D2E38">
        <w:rPr>
          <w:rFonts w:cstheme="minorHAnsi"/>
          <w:highlight w:val="yellow"/>
        </w:rPr>
        <w:t>Sanderman</w:t>
      </w:r>
      <w:proofErr w:type="spellEnd"/>
      <w:r w:rsidRPr="006D2E38">
        <w:rPr>
          <w:rFonts w:cstheme="minorHAnsi"/>
          <w:highlight w:val="yellow"/>
        </w:rPr>
        <w:t xml:space="preserve"> et al., 2017) through cultivation. It is known that best management practices can restore some at least some of this lost carbon (Lal et al., 2018), so it has been suggested that soil C sequestration could be a significant greenhouse gas (GHG) removal strategy (also called negative emission technology, or carbon dioxide removal option; Smith, 2016). Global estimates of soil C sequestration potential vary considerably, but a recent systematic review by Fuss et al. (2018) suggests an annual technical potential of 2–5 Gt CO2/year.</w:t>
      </w:r>
      <w:r w:rsidRPr="007321CA">
        <w:rPr>
          <w:rFonts w:cstheme="minorHAnsi"/>
        </w:rPr>
        <w:t xml:space="preserve"> </w:t>
      </w:r>
    </w:p>
    <w:p w14:paraId="1A578334" w14:textId="77777777" w:rsidR="006D2E38" w:rsidRPr="007321CA" w:rsidRDefault="006D2E38" w:rsidP="006D2E38">
      <w:pPr>
        <w:rPr>
          <w:rFonts w:cstheme="minorHAnsi"/>
        </w:rPr>
      </w:pPr>
      <w:r w:rsidRPr="00786B70">
        <w:rPr>
          <w:rFonts w:cstheme="minorHAnsi"/>
        </w:rPr>
        <w:t>An incomplete understanding on how SOC changes are influenced</w:t>
      </w:r>
      <w:r>
        <w:rPr>
          <w:rFonts w:cstheme="minorHAnsi"/>
        </w:rPr>
        <w:t xml:space="preserve"> </w:t>
      </w:r>
      <w:r w:rsidRPr="00786B70">
        <w:rPr>
          <w:rFonts w:cstheme="minorHAnsi"/>
        </w:rPr>
        <w:t>by climate, land use, management and edaphic factors (</w:t>
      </w:r>
      <w:proofErr w:type="spellStart"/>
      <w:r w:rsidRPr="00786B70">
        <w:rPr>
          <w:rFonts w:cstheme="minorHAnsi"/>
        </w:rPr>
        <w:t>Stockmannet</w:t>
      </w:r>
      <w:proofErr w:type="spellEnd"/>
      <w:r w:rsidRPr="00786B70">
        <w:rPr>
          <w:rFonts w:cstheme="minorHAnsi"/>
        </w:rPr>
        <w:t xml:space="preserve"> al., 2013), adds complexity to designing appropriate monitoring,</w:t>
      </w:r>
      <w:r>
        <w:rPr>
          <w:rFonts w:cstheme="minorHAnsi"/>
        </w:rPr>
        <w:t xml:space="preserve"> </w:t>
      </w:r>
      <w:r w:rsidRPr="00786B70">
        <w:rPr>
          <w:rFonts w:cstheme="minorHAnsi"/>
        </w:rPr>
        <w:t>reporting and verification (MRV) platforms. For instance, process‐level knowledge on how these variables influence changes in C stocks and fluxes remains incomplete (</w:t>
      </w:r>
      <w:proofErr w:type="spellStart"/>
      <w:r w:rsidRPr="00786B70">
        <w:rPr>
          <w:rFonts w:cstheme="minorHAnsi"/>
        </w:rPr>
        <w:t>Bispo</w:t>
      </w:r>
      <w:proofErr w:type="spellEnd"/>
      <w:r w:rsidRPr="00786B70">
        <w:rPr>
          <w:rFonts w:cstheme="minorHAnsi"/>
        </w:rPr>
        <w:t xml:space="preserve"> et al., 2017). Furthermore, the reversibility of C sequestration, when practices that retain C are not maintained, or due to climate variability or climate change, increases</w:t>
      </w:r>
      <w:r>
        <w:rPr>
          <w:rFonts w:cstheme="minorHAnsi"/>
        </w:rPr>
        <w:t xml:space="preserve"> </w:t>
      </w:r>
      <w:r w:rsidRPr="00786B70">
        <w:rPr>
          <w:rFonts w:cstheme="minorHAnsi"/>
        </w:rPr>
        <w:t>uncertainty in the time frames needed to monitor SOC enhancement</w:t>
      </w:r>
      <w:r>
        <w:rPr>
          <w:rFonts w:cstheme="minorHAnsi"/>
        </w:rPr>
        <w:t xml:space="preserve"> </w:t>
      </w:r>
      <w:r w:rsidRPr="00786B70">
        <w:rPr>
          <w:rFonts w:cstheme="minorHAnsi"/>
        </w:rPr>
        <w:t>activities (</w:t>
      </w:r>
      <w:proofErr w:type="spellStart"/>
      <w:r w:rsidRPr="00786B70">
        <w:rPr>
          <w:rFonts w:cstheme="minorHAnsi"/>
        </w:rPr>
        <w:t>Rumpel</w:t>
      </w:r>
      <w:proofErr w:type="spellEnd"/>
      <w:r w:rsidRPr="00786B70">
        <w:rPr>
          <w:rFonts w:cstheme="minorHAnsi"/>
        </w:rPr>
        <w:t xml:space="preserve"> et al., 20</w:t>
      </w:r>
      <w:r>
        <w:rPr>
          <w:rFonts w:cstheme="minorHAnsi"/>
        </w:rPr>
        <w:t>19)...</w:t>
      </w:r>
      <w:r w:rsidRPr="006D2E38">
        <w:rPr>
          <w:rFonts w:cstheme="minorHAnsi"/>
          <w:highlight w:val="yellow"/>
        </w:rPr>
        <w:t>We focus on methods to measure and/or estimate SOC change, but these measurement/estimation methods also form the basis of how changes in SOC can be monitored and reported at plot to national(and even global) scales, and how reported changes could be verified.</w:t>
      </w:r>
    </w:p>
    <w:p w14:paraId="11DFDDC3" w14:textId="77777777" w:rsidR="006D2E38" w:rsidRDefault="006D2E38" w:rsidP="00BE28CD"/>
    <w:p w14:paraId="6DF4F9E6" w14:textId="77777777" w:rsidR="000958AD" w:rsidRPr="000958AD" w:rsidRDefault="00922378" w:rsidP="000958AD">
      <w:pPr>
        <w:pStyle w:val="ListParagraph"/>
        <w:numPr>
          <w:ilvl w:val="0"/>
          <w:numId w:val="3"/>
        </w:numPr>
        <w:rPr>
          <w:rFonts w:cstheme="minorHAnsi"/>
        </w:rPr>
      </w:pPr>
      <w:r w:rsidRPr="003D7D11">
        <w:rPr>
          <w:b/>
          <w:bCs/>
          <w:sz w:val="24"/>
          <w:szCs w:val="24"/>
        </w:rPr>
        <w:t>Alasdair J. Sykes</w:t>
      </w:r>
      <w:r w:rsidRPr="003D7D11">
        <w:rPr>
          <w:b/>
          <w:bCs/>
          <w:sz w:val="24"/>
          <w:szCs w:val="24"/>
        </w:rPr>
        <w:t>,</w:t>
      </w:r>
      <w:r w:rsidRPr="003D7D11">
        <w:rPr>
          <w:b/>
          <w:bCs/>
          <w:sz w:val="24"/>
          <w:szCs w:val="24"/>
        </w:rPr>
        <w:t xml:space="preserve"> Michael Macleod</w:t>
      </w:r>
      <w:r w:rsidRPr="003D7D11">
        <w:rPr>
          <w:b/>
          <w:bCs/>
          <w:sz w:val="24"/>
          <w:szCs w:val="24"/>
        </w:rPr>
        <w:t>,</w:t>
      </w:r>
      <w:r w:rsidRPr="003D7D11">
        <w:rPr>
          <w:b/>
          <w:bCs/>
          <w:sz w:val="24"/>
          <w:szCs w:val="24"/>
        </w:rPr>
        <w:t xml:space="preserve"> Vera </w:t>
      </w:r>
      <w:proofErr w:type="spellStart"/>
      <w:r w:rsidRPr="003D7D11">
        <w:rPr>
          <w:b/>
          <w:bCs/>
          <w:sz w:val="24"/>
          <w:szCs w:val="24"/>
        </w:rPr>
        <w:t>Eory</w:t>
      </w:r>
      <w:proofErr w:type="spellEnd"/>
      <w:r w:rsidRPr="003D7D11">
        <w:rPr>
          <w:b/>
          <w:bCs/>
          <w:sz w:val="24"/>
          <w:szCs w:val="24"/>
        </w:rPr>
        <w:t>,</w:t>
      </w:r>
      <w:r w:rsidRPr="003D7D11">
        <w:rPr>
          <w:b/>
          <w:bCs/>
          <w:sz w:val="24"/>
          <w:szCs w:val="24"/>
        </w:rPr>
        <w:t xml:space="preserve"> Robert M. Rees</w:t>
      </w:r>
      <w:r w:rsidRPr="003D7D11">
        <w:rPr>
          <w:b/>
          <w:bCs/>
          <w:sz w:val="24"/>
          <w:szCs w:val="24"/>
        </w:rPr>
        <w:t xml:space="preserve">, et al. Invited Research Review: </w:t>
      </w:r>
      <w:proofErr w:type="spellStart"/>
      <w:r w:rsidRPr="003D7D11">
        <w:rPr>
          <w:b/>
          <w:bCs/>
          <w:sz w:val="24"/>
          <w:szCs w:val="24"/>
        </w:rPr>
        <w:t>Characterising</w:t>
      </w:r>
      <w:proofErr w:type="spellEnd"/>
      <w:r w:rsidRPr="003D7D11">
        <w:rPr>
          <w:b/>
          <w:bCs/>
          <w:sz w:val="24"/>
          <w:szCs w:val="24"/>
        </w:rPr>
        <w:t xml:space="preserve"> the biophysical, economic and social impacts of soil carbon sequestration as a greenhouse gas removal technology</w:t>
      </w:r>
      <w:r w:rsidRPr="003D7D11">
        <w:rPr>
          <w:b/>
          <w:bCs/>
          <w:sz w:val="24"/>
          <w:szCs w:val="24"/>
        </w:rPr>
        <w:t xml:space="preserve">. Global Change Biology, </w:t>
      </w:r>
      <w:r w:rsidR="003D7D11" w:rsidRPr="003D7D11">
        <w:rPr>
          <w:b/>
          <w:bCs/>
          <w:sz w:val="24"/>
          <w:szCs w:val="24"/>
        </w:rPr>
        <w:t>Volume</w:t>
      </w:r>
      <w:r w:rsidR="003D7D11" w:rsidRPr="003D7D11">
        <w:rPr>
          <w:b/>
          <w:bCs/>
          <w:sz w:val="24"/>
          <w:szCs w:val="24"/>
        </w:rPr>
        <w:t xml:space="preserve"> </w:t>
      </w:r>
      <w:r w:rsidR="003D7D11" w:rsidRPr="003D7D11">
        <w:rPr>
          <w:b/>
          <w:bCs/>
          <w:sz w:val="24"/>
          <w:szCs w:val="24"/>
        </w:rPr>
        <w:t>26, Issue</w:t>
      </w:r>
      <w:r w:rsidR="003D7D11" w:rsidRPr="003D7D11">
        <w:rPr>
          <w:b/>
          <w:bCs/>
          <w:sz w:val="24"/>
          <w:szCs w:val="24"/>
        </w:rPr>
        <w:t xml:space="preserve"> </w:t>
      </w:r>
      <w:r w:rsidR="003D7D11" w:rsidRPr="003D7D11">
        <w:rPr>
          <w:b/>
          <w:bCs/>
          <w:sz w:val="24"/>
          <w:szCs w:val="24"/>
        </w:rPr>
        <w:t>3</w:t>
      </w:r>
      <w:r w:rsidR="003D7D11" w:rsidRPr="003D7D11">
        <w:rPr>
          <w:b/>
          <w:bCs/>
          <w:sz w:val="24"/>
          <w:szCs w:val="24"/>
        </w:rPr>
        <w:t>, March 2020, pages 108</w:t>
      </w:r>
      <w:r w:rsidR="003D7D11">
        <w:rPr>
          <w:b/>
          <w:bCs/>
          <w:sz w:val="24"/>
          <w:szCs w:val="24"/>
        </w:rPr>
        <w:t>5</w:t>
      </w:r>
      <w:r w:rsidR="003D7D11" w:rsidRPr="003D7D11">
        <w:rPr>
          <w:b/>
          <w:bCs/>
          <w:sz w:val="24"/>
          <w:szCs w:val="24"/>
        </w:rPr>
        <w:t>-1108</w:t>
      </w:r>
      <w:r w:rsidR="003D7D11">
        <w:rPr>
          <w:b/>
          <w:bCs/>
          <w:sz w:val="24"/>
          <w:szCs w:val="24"/>
        </w:rPr>
        <w:t xml:space="preserve"> </w:t>
      </w:r>
      <w:r w:rsidR="003D7D11" w:rsidRPr="007321CA">
        <w:rPr>
          <w:sz w:val="24"/>
          <w:szCs w:val="24"/>
        </w:rPr>
        <w:t>at</w:t>
      </w:r>
      <w:r w:rsidR="007321CA">
        <w:rPr>
          <w:b/>
          <w:bCs/>
          <w:sz w:val="24"/>
          <w:szCs w:val="24"/>
        </w:rPr>
        <w:t xml:space="preserve"> </w:t>
      </w:r>
      <w:hyperlink r:id="rId7" w:history="1">
        <w:r w:rsidR="007321CA" w:rsidRPr="004767F1">
          <w:rPr>
            <w:rStyle w:val="Hyperlink"/>
            <w:sz w:val="24"/>
            <w:szCs w:val="24"/>
          </w:rPr>
          <w:t>https://onlinelibrary.wiley.com/doi/full/10.1111/gcb.14844</w:t>
        </w:r>
      </w:hyperlink>
      <w:r w:rsidR="000958AD">
        <w:rPr>
          <w:sz w:val="24"/>
          <w:szCs w:val="24"/>
        </w:rPr>
        <w:br/>
      </w:r>
    </w:p>
    <w:p w14:paraId="7C92EB76" w14:textId="3DCFDD66" w:rsidR="007321CA" w:rsidRPr="000958AD" w:rsidRDefault="000958AD" w:rsidP="000958AD">
      <w:pPr>
        <w:rPr>
          <w:rFonts w:cstheme="minorHAnsi"/>
        </w:rPr>
      </w:pPr>
      <w:r w:rsidRPr="000958AD">
        <w:rPr>
          <w:rFonts w:cstheme="minorHAnsi"/>
        </w:rPr>
        <w:t xml:space="preserve">To limit warming to well below 2°C, most scenario projections rely on greenhouse gas removal technologies (GGRTs); one such GGRT uses soil carbon sequestration (SCS) in agricultural land. </w:t>
      </w:r>
      <w:r w:rsidRPr="000958AD">
        <w:rPr>
          <w:rFonts w:cstheme="minorHAnsi"/>
          <w:highlight w:val="yellow"/>
        </w:rPr>
        <w:t xml:space="preserve">SCS shows several important advantages over other GGRTs (Smith, 2016); it has negligible land use impacts since it can be </w:t>
      </w:r>
      <w:proofErr w:type="spellStart"/>
      <w:r w:rsidRPr="000958AD">
        <w:rPr>
          <w:rFonts w:cstheme="minorHAnsi"/>
          <w:highlight w:val="yellow"/>
        </w:rPr>
        <w:t>practised</w:t>
      </w:r>
      <w:proofErr w:type="spellEnd"/>
      <w:r w:rsidRPr="000958AD">
        <w:rPr>
          <w:rFonts w:cstheme="minorHAnsi"/>
          <w:highlight w:val="yellow"/>
        </w:rPr>
        <w:t xml:space="preserve"> without changing land use (a drawback of bioenergy with CCS and </w:t>
      </w:r>
      <w:r w:rsidRPr="000958AD">
        <w:rPr>
          <w:highlight w:val="yellow"/>
        </w:rPr>
        <w:t>afforestation/reforestation</w:t>
      </w:r>
      <w:r w:rsidRPr="000958AD">
        <w:rPr>
          <w:rFonts w:cstheme="minorHAnsi"/>
          <w:highlight w:val="yellow"/>
        </w:rPr>
        <w:t xml:space="preserve">). 2019). SCS implementation costs are estimated to be negative for around 20% of potential, and &lt;US$ 40 t/C‐eq for the remainder, making it highly cost‐effective versus direct air capture and enhanced weathering (Smith, 2016). Water and energy use by SCS are negligible or negative, providing an advantage over bioenergy with CCS, direct air capture and </w:t>
      </w:r>
      <w:r w:rsidRPr="000958AD">
        <w:rPr>
          <w:highlight w:val="yellow"/>
        </w:rPr>
        <w:t>afforestation/reforestation</w:t>
      </w:r>
      <w:r w:rsidRPr="000958AD">
        <w:rPr>
          <w:rFonts w:cstheme="minorHAnsi"/>
          <w:highlight w:val="yellow"/>
        </w:rPr>
        <w:t xml:space="preserve"> (Smith, 2016). A key limitation of SCS is saturation of sequestration potential, making GGR by SCS a finite and time‐limited quantity, and vulnerable to reversal (Fuss et al., 2014). The global potential of SCS is also challenging to assess, and optimistic assessments are disputed </w:t>
      </w:r>
      <w:r w:rsidRPr="000958AD">
        <w:rPr>
          <w:rFonts w:cstheme="minorHAnsi"/>
          <w:highlight w:val="yellow"/>
        </w:rPr>
        <w:lastRenderedPageBreak/>
        <w:t>(Schlesinger &amp; Amundson, 2019). While the estimated global potential of SCS is lower than some other GGRTs (Fuss et al., 2018; Minx et al., 2018; Smith, 2016), the efficacy of SCS is greatest in the short to medium term (</w:t>
      </w:r>
      <w:proofErr w:type="spellStart"/>
      <w:r w:rsidRPr="000958AD">
        <w:rPr>
          <w:rFonts w:cstheme="minorHAnsi"/>
          <w:highlight w:val="yellow"/>
        </w:rPr>
        <w:t>Goglio</w:t>
      </w:r>
      <w:proofErr w:type="spellEnd"/>
      <w:r w:rsidRPr="000958AD">
        <w:rPr>
          <w:rFonts w:cstheme="minorHAnsi"/>
          <w:highlight w:val="yellow"/>
        </w:rPr>
        <w:t xml:space="preserve"> et al., 2015; Smith, 2012), meaning SCS act as an interim measure until the deployment of higher potential GGRTs can be </w:t>
      </w:r>
      <w:proofErr w:type="spellStart"/>
      <w:r w:rsidRPr="000958AD">
        <w:rPr>
          <w:rFonts w:cstheme="minorHAnsi"/>
          <w:highlight w:val="yellow"/>
        </w:rPr>
        <w:t>realised</w:t>
      </w:r>
      <w:proofErr w:type="spellEnd"/>
      <w:r w:rsidRPr="000958AD">
        <w:rPr>
          <w:rFonts w:cstheme="minorHAnsi"/>
        </w:rPr>
        <w:t xml:space="preserve">. In addition to their role in mitigating climate change, SCS practices play a role in delivering agroecosystem resilience, climate change adaptability and food security. Environmental heterogeneity and differences in agricultural practices challenge the practical implementation of SCS, and our analysis addresses the associated knowledge gap. </w:t>
      </w:r>
      <w:r w:rsidRPr="000958AD">
        <w:rPr>
          <w:rFonts w:cstheme="minorHAnsi"/>
          <w:highlight w:val="yellow"/>
        </w:rPr>
        <w:t>We identify specific practices with potential for both a positive impact on SCS at farm level and an uptake rate compatible with global impact.</w:t>
      </w:r>
      <w:r w:rsidRPr="000958AD">
        <w:rPr>
          <w:rFonts w:cstheme="minorHAnsi"/>
        </w:rPr>
        <w:t xml:space="preserve"> </w:t>
      </w:r>
      <w:r>
        <w:rPr>
          <w:rFonts w:cstheme="minorHAnsi"/>
        </w:rPr>
        <w:br/>
      </w:r>
      <w:r w:rsidRPr="000958AD">
        <w:rPr>
          <w:rFonts w:cstheme="minorHAnsi"/>
        </w:rPr>
        <w:br/>
      </w:r>
    </w:p>
    <w:p w14:paraId="01A23C5A" w14:textId="77777777" w:rsidR="000958AD" w:rsidRPr="000958AD" w:rsidRDefault="000958AD" w:rsidP="000958AD">
      <w:pPr>
        <w:pStyle w:val="ListParagraph"/>
        <w:numPr>
          <w:ilvl w:val="0"/>
          <w:numId w:val="3"/>
        </w:numPr>
        <w:rPr>
          <w:rFonts w:cstheme="minorHAnsi"/>
        </w:rPr>
      </w:pPr>
      <w:r w:rsidRPr="007321CA">
        <w:rPr>
          <w:b/>
          <w:bCs/>
          <w:sz w:val="24"/>
          <w:szCs w:val="24"/>
        </w:rPr>
        <w:t>Project Drawdown</w:t>
      </w:r>
      <w:r>
        <w:rPr>
          <w:b/>
          <w:bCs/>
          <w:sz w:val="24"/>
          <w:szCs w:val="24"/>
        </w:rPr>
        <w:t>: Technical Data for Specific Agricultural Approaches that Offer Significant Carbon Sequestration Advantages</w:t>
      </w:r>
      <w:r>
        <w:rPr>
          <w:b/>
          <w:bCs/>
          <w:sz w:val="24"/>
          <w:szCs w:val="24"/>
        </w:rPr>
        <w:br/>
      </w:r>
    </w:p>
    <w:p w14:paraId="23B6E29E" w14:textId="23AEBD55" w:rsidR="007321CA" w:rsidRPr="000958AD" w:rsidRDefault="000958AD" w:rsidP="000958AD">
      <w:pPr>
        <w:rPr>
          <w:rFonts w:cstheme="minorHAnsi"/>
        </w:rPr>
      </w:pPr>
      <w:r w:rsidRPr="000958AD">
        <w:rPr>
          <w:b/>
          <w:bCs/>
          <w:sz w:val="24"/>
          <w:szCs w:val="24"/>
        </w:rPr>
        <w:t xml:space="preserve">a. </w:t>
      </w:r>
      <w:r w:rsidR="007D7D13" w:rsidRPr="000958AD">
        <w:rPr>
          <w:sz w:val="24"/>
          <w:szCs w:val="24"/>
        </w:rPr>
        <w:t>at</w:t>
      </w:r>
      <w:r w:rsidR="007D7D13" w:rsidRPr="000958AD">
        <w:rPr>
          <w:b/>
          <w:bCs/>
          <w:sz w:val="24"/>
          <w:szCs w:val="24"/>
        </w:rPr>
        <w:t xml:space="preserve"> </w:t>
      </w:r>
      <w:hyperlink r:id="rId8" w:history="1">
        <w:r w:rsidR="007D7D13" w:rsidRPr="000958AD">
          <w:rPr>
            <w:rStyle w:val="Hyperlink"/>
            <w:sz w:val="24"/>
            <w:szCs w:val="24"/>
          </w:rPr>
          <w:t>https://drawdown.org/solutions/regenerative-annual-cropping</w:t>
        </w:r>
      </w:hyperlink>
      <w:r w:rsidR="007D7D13" w:rsidRPr="000958AD">
        <w:rPr>
          <w:b/>
          <w:bCs/>
          <w:sz w:val="24"/>
          <w:szCs w:val="24"/>
        </w:rPr>
        <w:t xml:space="preserve"> </w:t>
      </w:r>
    </w:p>
    <w:p w14:paraId="3A20806B" w14:textId="7B82AEED" w:rsidR="007321CA" w:rsidRDefault="008E6FEF" w:rsidP="008E6FEF">
      <w:pPr>
        <w:rPr>
          <w:b/>
          <w:bCs/>
          <w:sz w:val="24"/>
          <w:szCs w:val="24"/>
        </w:rPr>
      </w:pPr>
      <w:r>
        <w:rPr>
          <w:noProof/>
        </w:rPr>
        <w:drawing>
          <wp:inline distT="0" distB="0" distL="0" distR="0" wp14:anchorId="32203D89" wp14:editId="00CC3C19">
            <wp:extent cx="5462523" cy="1787525"/>
            <wp:effectExtent l="0" t="0" r="508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814" t="29439" r="15278" b="26401"/>
                    <a:stretch/>
                  </pic:blipFill>
                  <pic:spPr bwMode="auto">
                    <a:xfrm>
                      <a:off x="0" y="0"/>
                      <a:ext cx="5464677" cy="1788230"/>
                    </a:xfrm>
                    <a:prstGeom prst="rect">
                      <a:avLst/>
                    </a:prstGeom>
                    <a:ln>
                      <a:noFill/>
                    </a:ln>
                    <a:extLst>
                      <a:ext uri="{53640926-AAD7-44D8-BBD7-CCE9431645EC}">
                        <a14:shadowObscured xmlns:a14="http://schemas.microsoft.com/office/drawing/2010/main"/>
                      </a:ext>
                    </a:extLst>
                  </pic:spPr>
                </pic:pic>
              </a:graphicData>
            </a:graphic>
          </wp:inline>
        </w:drawing>
      </w:r>
    </w:p>
    <w:p w14:paraId="6060376B" w14:textId="6042C943" w:rsidR="008E6FEF" w:rsidRPr="008E6FEF" w:rsidRDefault="008E6FEF" w:rsidP="008E6FEF">
      <w:pPr>
        <w:rPr>
          <w:sz w:val="24"/>
          <w:szCs w:val="24"/>
        </w:rPr>
      </w:pPr>
      <w:r w:rsidRPr="008E6FEF">
        <w:rPr>
          <w:sz w:val="24"/>
          <w:szCs w:val="24"/>
        </w:rPr>
        <w:t xml:space="preserve">Impact: </w:t>
      </w:r>
      <w:r w:rsidR="000958AD">
        <w:rPr>
          <w:sz w:val="24"/>
          <w:szCs w:val="24"/>
        </w:rPr>
        <w:t xml:space="preserve"> </w:t>
      </w:r>
      <w:r w:rsidRPr="008E6FEF">
        <w:rPr>
          <w:sz w:val="24"/>
          <w:szCs w:val="24"/>
        </w:rPr>
        <w:t>From an estimated 11.84 million hectares of current adoption, we estimate regenerative annual cropping to increase to a total of 221-322 million hectares by 2050. This rapid adoption is based in part on the historic growth rate of organic agriculture, as well as the projected conversion of conservation agriculture to regenerative annual cropping over time. This increase could result in a total reduction of 14.5-22.3 gigatons of carbon dioxide, from both sequestration and reduced emissions. Regenerative annual cropping could provide a $2.3-3.5 trillion lifetime operational cost savings and lifetime net profit gain of $135-206 billion on an investment of $79-116 billion.</w:t>
      </w:r>
    </w:p>
    <w:p w14:paraId="0A7E6A5B" w14:textId="4E50C9D0" w:rsidR="000958AD" w:rsidRDefault="008E6FEF" w:rsidP="008E6FEF">
      <w:pPr>
        <w:rPr>
          <w:sz w:val="24"/>
          <w:szCs w:val="24"/>
        </w:rPr>
      </w:pPr>
      <w:hyperlink r:id="rId10" w:tgtFrame="_blank" w:history="1">
        <w:r w:rsidRPr="008E6FEF">
          <w:rPr>
            <w:rStyle w:val="Hyperlink"/>
            <w:sz w:val="24"/>
            <w:szCs w:val="24"/>
          </w:rPr>
          <w:t>Technical Assessment References (PDF)</w:t>
        </w:r>
      </w:hyperlink>
      <w:r w:rsidR="000958AD">
        <w:rPr>
          <w:sz w:val="24"/>
          <w:szCs w:val="24"/>
        </w:rPr>
        <w:t xml:space="preserve"> and </w:t>
      </w:r>
      <w:hyperlink r:id="rId11" w:history="1">
        <w:r w:rsidRPr="008E6FEF">
          <w:rPr>
            <w:rStyle w:val="Hyperlink"/>
            <w:sz w:val="24"/>
            <w:szCs w:val="24"/>
          </w:rPr>
          <w:t>View Technical Summary</w:t>
        </w:r>
      </w:hyperlink>
    </w:p>
    <w:p w14:paraId="1DCDEF50" w14:textId="282DF6CE" w:rsidR="008E6FEF" w:rsidRDefault="00AE13A9" w:rsidP="008E6FEF">
      <w:pPr>
        <w:rPr>
          <w:b/>
          <w:bCs/>
          <w:sz w:val="24"/>
          <w:szCs w:val="24"/>
        </w:rPr>
      </w:pPr>
      <w:r>
        <w:rPr>
          <w:sz w:val="24"/>
          <w:szCs w:val="24"/>
        </w:rPr>
        <w:br/>
      </w:r>
    </w:p>
    <w:p w14:paraId="32184464" w14:textId="7ECB1742" w:rsidR="00193E4F" w:rsidRDefault="00193E4F" w:rsidP="008E6FEF">
      <w:pPr>
        <w:rPr>
          <w:sz w:val="24"/>
          <w:szCs w:val="24"/>
        </w:rPr>
      </w:pPr>
      <w:r>
        <w:rPr>
          <w:b/>
          <w:bCs/>
          <w:sz w:val="24"/>
          <w:szCs w:val="24"/>
        </w:rPr>
        <w:t xml:space="preserve">b. Project Drawdown </w:t>
      </w:r>
      <w:r>
        <w:rPr>
          <w:sz w:val="24"/>
          <w:szCs w:val="24"/>
        </w:rPr>
        <w:t xml:space="preserve">at </w:t>
      </w:r>
      <w:hyperlink r:id="rId12" w:history="1">
        <w:r w:rsidRPr="004767F1">
          <w:rPr>
            <w:rStyle w:val="Hyperlink"/>
            <w:sz w:val="24"/>
            <w:szCs w:val="24"/>
          </w:rPr>
          <w:t>https://drawdown.org/solutions/perennial-staple-crops</w:t>
        </w:r>
      </w:hyperlink>
    </w:p>
    <w:p w14:paraId="122C9A2D" w14:textId="5BC9DF3F" w:rsidR="00193E4F" w:rsidRDefault="00193E4F" w:rsidP="008E6FEF">
      <w:pPr>
        <w:rPr>
          <w:b/>
          <w:bCs/>
          <w:sz w:val="24"/>
          <w:szCs w:val="24"/>
        </w:rPr>
      </w:pPr>
      <w:r>
        <w:rPr>
          <w:noProof/>
        </w:rPr>
        <w:lastRenderedPageBreak/>
        <w:drawing>
          <wp:inline distT="0" distB="0" distL="0" distR="0" wp14:anchorId="6A8658F6" wp14:editId="156E038A">
            <wp:extent cx="5295900" cy="1614378"/>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173" t="51377" r="15599" b="7313"/>
                    <a:stretch/>
                  </pic:blipFill>
                  <pic:spPr bwMode="auto">
                    <a:xfrm>
                      <a:off x="0" y="0"/>
                      <a:ext cx="5320133" cy="1621765"/>
                    </a:xfrm>
                    <a:prstGeom prst="rect">
                      <a:avLst/>
                    </a:prstGeom>
                    <a:ln>
                      <a:noFill/>
                    </a:ln>
                    <a:extLst>
                      <a:ext uri="{53640926-AAD7-44D8-BBD7-CCE9431645EC}">
                        <a14:shadowObscured xmlns:a14="http://schemas.microsoft.com/office/drawing/2010/main"/>
                      </a:ext>
                    </a:extLst>
                  </pic:spPr>
                </pic:pic>
              </a:graphicData>
            </a:graphic>
          </wp:inline>
        </w:drawing>
      </w:r>
    </w:p>
    <w:p w14:paraId="5D21F64F" w14:textId="77777777" w:rsidR="00193E4F" w:rsidRDefault="00193E4F" w:rsidP="00193E4F">
      <w:pPr>
        <w:rPr>
          <w:sz w:val="24"/>
          <w:szCs w:val="24"/>
        </w:rPr>
      </w:pPr>
    </w:p>
    <w:p w14:paraId="4080903F" w14:textId="5A508C7E" w:rsidR="00193E4F" w:rsidRPr="00193E4F" w:rsidRDefault="00193E4F" w:rsidP="00193E4F">
      <w:pPr>
        <w:rPr>
          <w:sz w:val="24"/>
          <w:szCs w:val="24"/>
        </w:rPr>
      </w:pPr>
      <w:r w:rsidRPr="00193E4F">
        <w:rPr>
          <w:sz w:val="24"/>
          <w:szCs w:val="24"/>
        </w:rPr>
        <w:t xml:space="preserve">Impact: </w:t>
      </w:r>
      <w:r>
        <w:rPr>
          <w:sz w:val="24"/>
          <w:szCs w:val="24"/>
        </w:rPr>
        <w:t xml:space="preserve"> </w:t>
      </w:r>
      <w:r w:rsidRPr="00193E4F">
        <w:rPr>
          <w:sz w:val="24"/>
          <w:szCs w:val="24"/>
        </w:rPr>
        <w:t>Perennial staple crops currently grow on approximately 50 million hectares, mostly in the tropics. Their rate of sequestration is high at 3.34 tons per hectare per year. Expand this area by another 601-141million hectares by 2050 and they can sequester 15.4-31.3gigatons of additional carbon dioxide. Our analysis assumes that expansion only occurs on existing grassland, with no forest clearing. Because their yield is 2.4 times higher than annual staples—at 60 percent of the cost—savings are significant ranging from $1.4-3.3 trillion, with an establishment cost of $83-190 billion and lifetime operational cost of $848-1922 billion.</w:t>
      </w:r>
    </w:p>
    <w:p w14:paraId="3F4B1115" w14:textId="4D6E0FDC" w:rsidR="00193E4F" w:rsidRPr="00AE13A9" w:rsidRDefault="00193E4F" w:rsidP="00193E4F">
      <w:pPr>
        <w:rPr>
          <w:sz w:val="24"/>
          <w:szCs w:val="24"/>
        </w:rPr>
      </w:pPr>
      <w:hyperlink r:id="rId14" w:tgtFrame="_blank" w:history="1">
        <w:r w:rsidRPr="00193E4F">
          <w:rPr>
            <w:rStyle w:val="Hyperlink"/>
            <w:sz w:val="24"/>
            <w:szCs w:val="24"/>
          </w:rPr>
          <w:t>Technical Assessment References (PDF)</w:t>
        </w:r>
      </w:hyperlink>
      <w:r w:rsidR="000958AD">
        <w:rPr>
          <w:sz w:val="24"/>
          <w:szCs w:val="24"/>
        </w:rPr>
        <w:t xml:space="preserve">  and  </w:t>
      </w:r>
      <w:hyperlink r:id="rId15" w:history="1">
        <w:r w:rsidRPr="00193E4F">
          <w:rPr>
            <w:rStyle w:val="Hyperlink"/>
            <w:sz w:val="24"/>
            <w:szCs w:val="24"/>
          </w:rPr>
          <w:t>View Technical Summary</w:t>
        </w:r>
      </w:hyperlink>
    </w:p>
    <w:p w14:paraId="4F9E3F42" w14:textId="04EDB473" w:rsidR="00AE13A9" w:rsidRDefault="00AE13A9" w:rsidP="00193E4F">
      <w:pPr>
        <w:rPr>
          <w:b/>
          <w:bCs/>
          <w:sz w:val="24"/>
          <w:szCs w:val="24"/>
        </w:rPr>
      </w:pPr>
    </w:p>
    <w:p w14:paraId="3EC2EA31" w14:textId="65129ED3" w:rsidR="00AE13A9" w:rsidRDefault="00AE13A9" w:rsidP="00193E4F">
      <w:pPr>
        <w:rPr>
          <w:sz w:val="24"/>
          <w:szCs w:val="24"/>
        </w:rPr>
      </w:pPr>
      <w:r>
        <w:rPr>
          <w:b/>
          <w:bCs/>
          <w:sz w:val="24"/>
          <w:szCs w:val="24"/>
        </w:rPr>
        <w:t xml:space="preserve">c. Drawdown </w:t>
      </w:r>
      <w:r>
        <w:rPr>
          <w:sz w:val="24"/>
          <w:szCs w:val="24"/>
        </w:rPr>
        <w:t xml:space="preserve">at </w:t>
      </w:r>
      <w:hyperlink r:id="rId16" w:history="1">
        <w:r w:rsidRPr="004767F1">
          <w:rPr>
            <w:rStyle w:val="Hyperlink"/>
            <w:sz w:val="24"/>
            <w:szCs w:val="24"/>
          </w:rPr>
          <w:t>https://drawdown.org/solutions/multistrata-agroforestry</w:t>
        </w:r>
      </w:hyperlink>
    </w:p>
    <w:p w14:paraId="2E3061B7" w14:textId="1663E730" w:rsidR="00AE13A9" w:rsidRDefault="00AE13A9" w:rsidP="00AE13A9">
      <w:pPr>
        <w:jc w:val="center"/>
        <w:rPr>
          <w:b/>
          <w:bCs/>
          <w:sz w:val="24"/>
          <w:szCs w:val="24"/>
        </w:rPr>
      </w:pPr>
      <w:r>
        <w:rPr>
          <w:noProof/>
        </w:rPr>
        <w:drawing>
          <wp:inline distT="0" distB="0" distL="0" distR="0" wp14:anchorId="41ECA495" wp14:editId="732CCEED">
            <wp:extent cx="3829050" cy="19272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853" t="36658" r="27725" b="5698"/>
                    <a:stretch/>
                  </pic:blipFill>
                  <pic:spPr bwMode="auto">
                    <a:xfrm>
                      <a:off x="0" y="0"/>
                      <a:ext cx="3829050" cy="1927225"/>
                    </a:xfrm>
                    <a:prstGeom prst="rect">
                      <a:avLst/>
                    </a:prstGeom>
                    <a:ln>
                      <a:noFill/>
                    </a:ln>
                    <a:extLst>
                      <a:ext uri="{53640926-AAD7-44D8-BBD7-CCE9431645EC}">
                        <a14:shadowObscured xmlns:a14="http://schemas.microsoft.com/office/drawing/2010/main"/>
                      </a:ext>
                    </a:extLst>
                  </pic:spPr>
                </pic:pic>
              </a:graphicData>
            </a:graphic>
          </wp:inline>
        </w:drawing>
      </w:r>
    </w:p>
    <w:p w14:paraId="48F5CBA7" w14:textId="168EE67B" w:rsidR="00AE13A9" w:rsidRDefault="00AE13A9" w:rsidP="00AE13A9">
      <w:r>
        <w:rPr>
          <w:rStyle w:val="impact-label"/>
        </w:rPr>
        <w:t xml:space="preserve">Impact: </w:t>
      </w:r>
      <w:r>
        <w:rPr>
          <w:rStyle w:val="impact-label"/>
        </w:rPr>
        <w:t xml:space="preserve"> </w:t>
      </w:r>
      <w:proofErr w:type="spellStart"/>
      <w:r>
        <w:t>Multistrata</w:t>
      </w:r>
      <w:proofErr w:type="spellEnd"/>
      <w:r>
        <w:t xml:space="preserve"> agroforestry can be integrated into some existing agricultural systems; others can be converted or restored to it. If adopted on another 39-66 million hectares by 2050, from 100 million hectares currently, 11.3-20.4 gigatons of carbon dioxide could be sequestered. Average sequestration rate of 4.45 tons of carbon per hectare per year is strong, as is financial return: $1.7-3 trillion lifetime, on a $54-92 billion initial investment and lifetime operational cost of $142.9-245.4.</w:t>
      </w:r>
    </w:p>
    <w:p w14:paraId="0F962CC0" w14:textId="2A33DC15" w:rsidR="00AE13A9" w:rsidRDefault="00AE13A9" w:rsidP="00AE13A9">
      <w:hyperlink r:id="rId18" w:tgtFrame="_blank" w:history="1">
        <w:r>
          <w:rPr>
            <w:rStyle w:val="Hyperlink"/>
          </w:rPr>
          <w:t>Technical Assessment References (PDF)</w:t>
        </w:r>
      </w:hyperlink>
      <w:r w:rsidR="000958AD">
        <w:t xml:space="preserve">  and </w:t>
      </w:r>
      <w:hyperlink r:id="rId19" w:history="1">
        <w:r>
          <w:rPr>
            <w:rStyle w:val="Hyperlink"/>
          </w:rPr>
          <w:t>View Technical Summary</w:t>
        </w:r>
      </w:hyperlink>
    </w:p>
    <w:p w14:paraId="58562678" w14:textId="77777777" w:rsidR="007F2F65" w:rsidRDefault="007F2F65">
      <w:pPr>
        <w:rPr>
          <w:b/>
          <w:bCs/>
        </w:rPr>
      </w:pPr>
    </w:p>
    <w:p w14:paraId="39ED0345" w14:textId="5FDDBADA" w:rsidR="007B02C7" w:rsidRPr="007F2F65" w:rsidRDefault="00BE28CD">
      <w:pPr>
        <w:rPr>
          <w:b/>
          <w:bCs/>
          <w:sz w:val="24"/>
          <w:szCs w:val="24"/>
        </w:rPr>
      </w:pPr>
      <w:r w:rsidRPr="007F2F65">
        <w:rPr>
          <w:b/>
          <w:bCs/>
          <w:sz w:val="24"/>
          <w:szCs w:val="24"/>
        </w:rPr>
        <w:lastRenderedPageBreak/>
        <w:t>U.S Level</w:t>
      </w:r>
    </w:p>
    <w:p w14:paraId="43444F1A" w14:textId="3AA1EAA7" w:rsidR="00F86B03" w:rsidRPr="007F2F65" w:rsidRDefault="00DC106C" w:rsidP="00D875CB">
      <w:pPr>
        <w:pStyle w:val="ListParagraph"/>
        <w:numPr>
          <w:ilvl w:val="0"/>
          <w:numId w:val="1"/>
        </w:numPr>
        <w:rPr>
          <w:b/>
          <w:bCs/>
          <w:sz w:val="24"/>
          <w:szCs w:val="24"/>
        </w:rPr>
      </w:pPr>
      <w:r w:rsidRPr="007F2F65">
        <w:rPr>
          <w:b/>
          <w:bCs/>
          <w:sz w:val="24"/>
          <w:szCs w:val="24"/>
        </w:rPr>
        <w:t>United States Mid-Century Strategy for Deep Decarbonization November 2016</w:t>
      </w:r>
      <w:r w:rsidR="007F2F65">
        <w:rPr>
          <w:b/>
          <w:bCs/>
          <w:sz w:val="24"/>
          <w:szCs w:val="24"/>
        </w:rPr>
        <w:t xml:space="preserve"> </w:t>
      </w:r>
      <w:r w:rsidR="007F2F65">
        <w:rPr>
          <w:sz w:val="24"/>
          <w:szCs w:val="24"/>
        </w:rPr>
        <w:t xml:space="preserve">at </w:t>
      </w:r>
      <w:hyperlink r:id="rId20" w:history="1">
        <w:r w:rsidR="007F2F65" w:rsidRPr="004767F1">
          <w:rPr>
            <w:rStyle w:val="Hyperlink"/>
            <w:sz w:val="24"/>
            <w:szCs w:val="24"/>
          </w:rPr>
          <w:t>https://unfccc.int/files/focus/long-term_strategies/application/pdf/mid_century_strategy_report-final_red.pdf</w:t>
        </w:r>
      </w:hyperlink>
      <w:r w:rsidR="007F2F65">
        <w:rPr>
          <w:sz w:val="24"/>
          <w:szCs w:val="24"/>
        </w:rPr>
        <w:t xml:space="preserve"> </w:t>
      </w:r>
    </w:p>
    <w:p w14:paraId="62C0A68E" w14:textId="1EA10F0B" w:rsidR="00F86B03" w:rsidRDefault="00DC106C" w:rsidP="00E90681">
      <w:pPr>
        <w:ind w:firstLine="360"/>
      </w:pPr>
      <w:r>
        <w:t>Storing Carbon and R</w:t>
      </w:r>
      <w:r w:rsidR="007B02C7">
        <w:t>educing</w:t>
      </w:r>
      <w:r>
        <w:t xml:space="preserve"> E</w:t>
      </w:r>
      <w:r w:rsidR="007B02C7">
        <w:t>missions</w:t>
      </w:r>
      <w:r>
        <w:t xml:space="preserve"> </w:t>
      </w:r>
      <w:r w:rsidR="007B02C7">
        <w:t>with</w:t>
      </w:r>
      <w:r>
        <w:t xml:space="preserve"> U.S. L</w:t>
      </w:r>
      <w:r w:rsidR="007B02C7">
        <w:t>ands</w:t>
      </w:r>
      <w:r>
        <w:t xml:space="preserve"> (Chapter 5)</w:t>
      </w:r>
    </w:p>
    <w:p w14:paraId="3C78FF4A" w14:textId="27BB97F0" w:rsidR="00F86B03" w:rsidRPr="00F86B03" w:rsidRDefault="00F86B03" w:rsidP="00F86B03">
      <w:r w:rsidRPr="00F86B03">
        <w:t>U.S. lands supply a variety of goods and services essential to maintaining our economic prosperity, environmental health,</w:t>
      </w:r>
      <w:r>
        <w:t xml:space="preserve"> </w:t>
      </w:r>
      <w:r w:rsidRPr="00F86B03">
        <w:t>national security, and overall quality of life. Our agricultural lands, including cropland, pasture, and rangeland, provide</w:t>
      </w:r>
      <w:r>
        <w:t xml:space="preserve"> </w:t>
      </w:r>
      <w:r w:rsidRPr="00F86B03">
        <w:t>the food and fiber that feed and clothe hundreds of millions of people in the United States and around the world.</w:t>
      </w:r>
    </w:p>
    <w:p w14:paraId="161285D9" w14:textId="2B2578BA" w:rsidR="00F86B03" w:rsidRPr="00F86B03" w:rsidRDefault="00F86B03" w:rsidP="00F86B03">
      <w:r w:rsidRPr="00F86B03">
        <w:t>Urban and other developed areas provide the space where we live and work. Forests produce the wood products we</w:t>
      </w:r>
      <w:r>
        <w:t xml:space="preserve"> </w:t>
      </w:r>
      <w:r w:rsidRPr="00F86B03">
        <w:t>use to build houses and other structures and the paper products we use in almost every aspect of our lives. Wetlands and other</w:t>
      </w:r>
      <w:r>
        <w:t xml:space="preserve"> </w:t>
      </w:r>
      <w:r w:rsidRPr="00F86B03">
        <w:t>natural areas, including protected landscapes as well as many areas associated with agriculture and forestry uses, provide a host</w:t>
      </w:r>
      <w:r>
        <w:t xml:space="preserve"> </w:t>
      </w:r>
      <w:r w:rsidRPr="00F86B03">
        <w:t>of vital environmental goods such as clean air, clean water, healthy soil, wildlife habitat, and biodiversity protection.</w:t>
      </w:r>
    </w:p>
    <w:p w14:paraId="0B545211" w14:textId="41E8D3FF" w:rsidR="00F86B03" w:rsidRPr="00F86B03" w:rsidRDefault="00F86B03" w:rsidP="00F86B03">
      <w:r w:rsidRPr="00F86B03">
        <w:t>Some land uses and management practices emit CO2 to the atmosphere and others remove it by sequestering carbon in trees,</w:t>
      </w:r>
      <w:r>
        <w:t xml:space="preserve"> </w:t>
      </w:r>
      <w:r w:rsidRPr="00F86B03">
        <w:t>plants, soils, and products. In aggregate, U.S. lands have been sequestering much more carbon than they emit (a net “carbon</w:t>
      </w:r>
      <w:r>
        <w:t xml:space="preserve"> </w:t>
      </w:r>
      <w:r w:rsidRPr="00F86B03">
        <w:t>sink”) for the last three decades, due to millions of acres shifting into forest from other uses—a slow reversal of the extensive</w:t>
      </w:r>
      <w:r>
        <w:t xml:space="preserve"> </w:t>
      </w:r>
      <w:r w:rsidRPr="00F86B03">
        <w:t>agriculture and settlement expansion over the last several centuries—and the continued secondary growth of trees on already</w:t>
      </w:r>
      <w:r>
        <w:t xml:space="preserve"> </w:t>
      </w:r>
      <w:r w:rsidRPr="00F86B03">
        <w:t xml:space="preserve">forested lands (Oswalt et al. 2014). </w:t>
      </w:r>
      <w:r w:rsidRPr="00F86B03">
        <w:rPr>
          <w:highlight w:val="yellow"/>
        </w:rPr>
        <w:t>In 2014, the U.S. land carbon sink sequestered a net 762 million metric tons of CO2, offsetting</w:t>
      </w:r>
      <w:r w:rsidRPr="00375778">
        <w:rPr>
          <w:highlight w:val="yellow"/>
        </w:rPr>
        <w:t xml:space="preserve"> </w:t>
      </w:r>
      <w:r w:rsidRPr="00F86B03">
        <w:rPr>
          <w:highlight w:val="yellow"/>
        </w:rPr>
        <w:t>11 percent of economy-wide GHG emissions (EPA 2016b).</w:t>
      </w:r>
    </w:p>
    <w:p w14:paraId="0892D479" w14:textId="1FBE0C6A" w:rsidR="00F86B03" w:rsidRPr="00F86B03" w:rsidRDefault="00F86B03" w:rsidP="00F86B03">
      <w:r w:rsidRPr="00F86B03">
        <w:t>How we manage our land resources, both in the near term and over the next several decades, will determine whether U.S. lands</w:t>
      </w:r>
      <w:r>
        <w:t xml:space="preserve"> </w:t>
      </w:r>
      <w:r w:rsidRPr="00F86B03">
        <w:t>can remain a robust carbon sink while delivering across a suite of other objectives, including needs for additional food, fiber,</w:t>
      </w:r>
      <w:r>
        <w:t xml:space="preserve"> </w:t>
      </w:r>
      <w:r w:rsidRPr="00F86B03">
        <w:t>forest products, carbon beneficial forms of bioenergy, living space, recreation, and the suite of environmental goods essential to</w:t>
      </w:r>
      <w:r>
        <w:t xml:space="preserve"> </w:t>
      </w:r>
      <w:r w:rsidRPr="00F86B03">
        <w:t>healthy ecosystems and human well-being.</w:t>
      </w:r>
    </w:p>
    <w:p w14:paraId="1D7640F1" w14:textId="2F0BC28B" w:rsidR="00F86B03" w:rsidRDefault="00F86B03" w:rsidP="00F86B03">
      <w:r w:rsidRPr="00F86B03">
        <w:rPr>
          <w:highlight w:val="yellow"/>
        </w:rPr>
        <w:t>The MCS analysis estimates 2050 land sector and CO2 removal technologies could sequester 30 to 50 percent of economy-wide</w:t>
      </w:r>
      <w:r w:rsidRPr="00375778">
        <w:rPr>
          <w:highlight w:val="yellow"/>
        </w:rPr>
        <w:t xml:space="preserve"> </w:t>
      </w:r>
      <w:r w:rsidRPr="00F86B03">
        <w:rPr>
          <w:highlight w:val="yellow"/>
        </w:rPr>
        <w:t>GHG emissions (Figure 5.1). The MCS Benchmark scenario shows a relatively constant annual land carbon sink combined with</w:t>
      </w:r>
      <w:r w:rsidRPr="00375778">
        <w:rPr>
          <w:highlight w:val="yellow"/>
        </w:rPr>
        <w:t xml:space="preserve"> </w:t>
      </w:r>
      <w:r w:rsidRPr="00F86B03">
        <w:rPr>
          <w:highlight w:val="yellow"/>
        </w:rPr>
        <w:t>scaled deployment of negative emissions technologies, like the use of carbon beneficial forms of bioenergy with carbon capture</w:t>
      </w:r>
      <w:r w:rsidRPr="00375778">
        <w:rPr>
          <w:highlight w:val="yellow"/>
        </w:rPr>
        <w:t xml:space="preserve"> </w:t>
      </w:r>
      <w:r w:rsidRPr="00F86B03">
        <w:rPr>
          <w:highlight w:val="yellow"/>
        </w:rPr>
        <w:t>and storage (BECCS). In the No CO2 Removal Technologies scenario, U.S. landscapes may be managed to deliver more than current</w:t>
      </w:r>
      <w:r w:rsidRPr="00375778">
        <w:rPr>
          <w:highlight w:val="yellow"/>
        </w:rPr>
        <w:t xml:space="preserve"> </w:t>
      </w:r>
      <w:r w:rsidRPr="00F86B03">
        <w:rPr>
          <w:highlight w:val="yellow"/>
        </w:rPr>
        <w:t>annual sink levels, especially if soil carbon sinks can be mobilized.</w:t>
      </w:r>
      <w:r w:rsidRPr="00F86B03">
        <w:t xml:space="preserve"> The Limited Sink scenario results in increasing pressure to</w:t>
      </w:r>
      <w:r>
        <w:t xml:space="preserve"> </w:t>
      </w:r>
      <w:r w:rsidRPr="00F86B03">
        <w:t>address challenging parts of the energy system and non-CO2 emissions. These scenarios suggest that the greater our ability to</w:t>
      </w:r>
      <w:r>
        <w:t xml:space="preserve"> </w:t>
      </w:r>
      <w:r w:rsidRPr="00F86B03">
        <w:t>reduce emissions through lower-cost land sector options compared to CO2 removal technologies and difficult-to-decarbonize</w:t>
      </w:r>
      <w:r>
        <w:t xml:space="preserve"> </w:t>
      </w:r>
      <w:r w:rsidRPr="00F86B03">
        <w:t>sectors, the more we can reduce overall costs. This finding is reinforced by the literature (Van Winkle et al. in press, Rose et al.</w:t>
      </w:r>
      <w:r>
        <w:t xml:space="preserve"> </w:t>
      </w:r>
      <w:r w:rsidRPr="00F86B03">
        <w:t>2012, Wise et al. 2009, Murray et al. 2005).</w:t>
      </w:r>
    </w:p>
    <w:p w14:paraId="713308CA" w14:textId="4DE5135C" w:rsidR="00F86B03" w:rsidRDefault="00F86B03" w:rsidP="00F86B03"/>
    <w:p w14:paraId="68249280" w14:textId="6FD6927F" w:rsidR="00F86B03" w:rsidRDefault="00F86B03" w:rsidP="00F86B03">
      <w:pPr>
        <w:jc w:val="center"/>
      </w:pPr>
      <w:r>
        <w:rPr>
          <w:noProof/>
        </w:rPr>
        <w:lastRenderedPageBreak/>
        <w:drawing>
          <wp:inline distT="0" distB="0" distL="0" distR="0" wp14:anchorId="58596348" wp14:editId="5B373419">
            <wp:extent cx="5441775" cy="6677025"/>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152" t="17949" r="37018" b="6079"/>
                    <a:stretch/>
                  </pic:blipFill>
                  <pic:spPr bwMode="auto">
                    <a:xfrm>
                      <a:off x="0" y="0"/>
                      <a:ext cx="5487675" cy="6733344"/>
                    </a:xfrm>
                    <a:prstGeom prst="rect">
                      <a:avLst/>
                    </a:prstGeom>
                    <a:ln>
                      <a:noFill/>
                    </a:ln>
                    <a:extLst>
                      <a:ext uri="{53640926-AAD7-44D8-BBD7-CCE9431645EC}">
                        <a14:shadowObscured xmlns:a14="http://schemas.microsoft.com/office/drawing/2010/main"/>
                      </a:ext>
                    </a:extLst>
                  </pic:spPr>
                </pic:pic>
              </a:graphicData>
            </a:graphic>
          </wp:inline>
        </w:drawing>
      </w:r>
    </w:p>
    <w:p w14:paraId="15BF162A" w14:textId="38B6D0F3" w:rsidR="00F86B03" w:rsidRDefault="00F86B03" w:rsidP="00F86B03">
      <w:pPr>
        <w:jc w:val="center"/>
      </w:pPr>
    </w:p>
    <w:p w14:paraId="78E80612" w14:textId="226CBAC7" w:rsidR="00F86B03" w:rsidRDefault="00F86B03" w:rsidP="00F86B03">
      <w:pPr>
        <w:autoSpaceDE w:val="0"/>
        <w:autoSpaceDN w:val="0"/>
        <w:adjustRightInd w:val="0"/>
        <w:spacing w:after="0" w:line="240" w:lineRule="auto"/>
        <w:rPr>
          <w:rFonts w:ascii="MyriadPro-Regular" w:hAnsi="MyriadPro-Regular" w:cs="MyriadPro-Regular"/>
          <w:color w:val="000F31"/>
          <w:sz w:val="20"/>
          <w:szCs w:val="20"/>
        </w:rPr>
      </w:pPr>
      <w:r>
        <w:rPr>
          <w:rFonts w:ascii="MyriadPro-Regular" w:hAnsi="MyriadPro-Regular" w:cs="MyriadPro-Regular"/>
          <w:color w:val="000F31"/>
          <w:sz w:val="20"/>
          <w:szCs w:val="20"/>
        </w:rPr>
        <w:t>We look at these issues through four key landscapes: forests, croplands and grazing lands,</w:t>
      </w:r>
    </w:p>
    <w:p w14:paraId="70DAEE3B" w14:textId="46706FDA" w:rsidR="00F86B03" w:rsidRDefault="00F86B03" w:rsidP="00F86B03">
      <w:pPr>
        <w:autoSpaceDE w:val="0"/>
        <w:autoSpaceDN w:val="0"/>
        <w:adjustRightInd w:val="0"/>
        <w:spacing w:after="0" w:line="240" w:lineRule="auto"/>
        <w:rPr>
          <w:rFonts w:ascii="MyriadPro-Regular" w:hAnsi="MyriadPro-Regular" w:cs="MyriadPro-Regular"/>
          <w:color w:val="000F31"/>
          <w:sz w:val="20"/>
          <w:szCs w:val="20"/>
        </w:rPr>
      </w:pPr>
      <w:r>
        <w:rPr>
          <w:rFonts w:ascii="MyriadPro-Regular" w:hAnsi="MyriadPro-Regular" w:cs="MyriadPro-Regular"/>
          <w:color w:val="000F31"/>
          <w:sz w:val="20"/>
          <w:szCs w:val="20"/>
        </w:rPr>
        <w:t>developed areas, and wetlands. Finally, we identify policy and programmatic priorities that would: (1) bolster incentives for land</w:t>
      </w:r>
      <w:r>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carbon sequestration, (2) quickly mobilize federal lands, (3) increase land use efficiency and protect sensitive landscapes, and (4)</w:t>
      </w:r>
      <w:r>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fill key research and data gaps policy makers and stakeholders need to inform future climate and energy policy. These key issues</w:t>
      </w:r>
      <w:r>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and their connections are highlighted in Figure 5.2.</w:t>
      </w:r>
    </w:p>
    <w:p w14:paraId="3667D02E" w14:textId="77777777" w:rsidR="00DC106C" w:rsidRDefault="00DC106C" w:rsidP="00F86B03">
      <w:pPr>
        <w:autoSpaceDE w:val="0"/>
        <w:autoSpaceDN w:val="0"/>
        <w:adjustRightInd w:val="0"/>
        <w:spacing w:after="0" w:line="240" w:lineRule="auto"/>
        <w:rPr>
          <w:rFonts w:ascii="MyriadPro-Regular" w:hAnsi="MyriadPro-Regular" w:cs="MyriadPro-Regular"/>
          <w:color w:val="000F31"/>
          <w:sz w:val="20"/>
          <w:szCs w:val="20"/>
        </w:rPr>
      </w:pPr>
    </w:p>
    <w:p w14:paraId="6869AD5D" w14:textId="77777777" w:rsidR="00DC106C" w:rsidRDefault="00DC106C" w:rsidP="00F86B03">
      <w:pPr>
        <w:autoSpaceDE w:val="0"/>
        <w:autoSpaceDN w:val="0"/>
        <w:adjustRightInd w:val="0"/>
        <w:spacing w:after="0" w:line="240" w:lineRule="auto"/>
        <w:rPr>
          <w:rFonts w:ascii="MyriadPro-Regular" w:hAnsi="MyriadPro-Regular" w:cs="MyriadPro-Regular"/>
          <w:color w:val="000F31"/>
          <w:sz w:val="20"/>
          <w:szCs w:val="20"/>
        </w:rPr>
      </w:pPr>
    </w:p>
    <w:p w14:paraId="19F25428" w14:textId="392CAD6A" w:rsidR="00F86B03" w:rsidRDefault="00F86B03" w:rsidP="00F86B03">
      <w:pPr>
        <w:autoSpaceDE w:val="0"/>
        <w:autoSpaceDN w:val="0"/>
        <w:adjustRightInd w:val="0"/>
        <w:spacing w:after="0" w:line="240" w:lineRule="auto"/>
        <w:rPr>
          <w:rFonts w:ascii="MyriadPro-Regular" w:hAnsi="MyriadPro-Regular" w:cs="MyriadPro-Regular"/>
          <w:color w:val="000F31"/>
          <w:sz w:val="20"/>
          <w:szCs w:val="20"/>
        </w:rPr>
      </w:pPr>
      <w:r>
        <w:rPr>
          <w:rFonts w:ascii="MyriadPro-Regular" w:hAnsi="MyriadPro-Regular" w:cs="MyriadPro-Regular"/>
          <w:color w:val="000F31"/>
          <w:sz w:val="20"/>
          <w:szCs w:val="20"/>
        </w:rPr>
        <w:lastRenderedPageBreak/>
        <w:t>A set of principles found throughout this chapter are important to highlight at the outset:</w:t>
      </w:r>
      <w:r w:rsidR="00DC106C">
        <w:rPr>
          <w:rFonts w:ascii="MyriadPro-Regular" w:hAnsi="MyriadPro-Regular" w:cs="MyriadPro-Regular"/>
          <w:color w:val="000F31"/>
          <w:sz w:val="20"/>
          <w:szCs w:val="20"/>
        </w:rPr>
        <w:br/>
      </w:r>
    </w:p>
    <w:p w14:paraId="2537309E" w14:textId="21ACAF77" w:rsidR="00F86B03" w:rsidRDefault="00F86B03" w:rsidP="00DC106C">
      <w:pPr>
        <w:autoSpaceDE w:val="0"/>
        <w:autoSpaceDN w:val="0"/>
        <w:adjustRightInd w:val="0"/>
        <w:spacing w:after="0" w:line="240" w:lineRule="auto"/>
        <w:ind w:left="720"/>
        <w:rPr>
          <w:rFonts w:ascii="MyriadPro-Regular" w:hAnsi="MyriadPro-Regular" w:cs="MyriadPro-Regular"/>
          <w:color w:val="000F31"/>
          <w:sz w:val="20"/>
          <w:szCs w:val="20"/>
        </w:rPr>
      </w:pPr>
      <w:r>
        <w:rPr>
          <w:rFonts w:ascii="MyriadPro-Regular" w:hAnsi="MyriadPro-Regular" w:cs="MyriadPro-Regular"/>
          <w:color w:val="000F31"/>
          <w:sz w:val="20"/>
          <w:szCs w:val="20"/>
        </w:rPr>
        <w:t>• Mirroring the incentive to reduce carbon in the energy sector, finding efficient ways to structure carbon-based incentives</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in the land sector will be important. For example, carbon-based payments to farmers, ranchers, and forest owners would</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incentivize many of the activities described below. Funding these incentives will be an important consideration for</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future climate action, as well as putting in place the appropriate institutions to administer such incentives to ensure they</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are efficiently supporting our long-term climate goals.</w:t>
      </w:r>
      <w:r w:rsidR="00DC106C">
        <w:rPr>
          <w:rFonts w:ascii="MyriadPro-Regular" w:hAnsi="MyriadPro-Regular" w:cs="MyriadPro-Regular"/>
          <w:color w:val="000F31"/>
          <w:sz w:val="20"/>
          <w:szCs w:val="20"/>
        </w:rPr>
        <w:br/>
      </w:r>
    </w:p>
    <w:p w14:paraId="593500AD" w14:textId="37E685ED" w:rsidR="00F86B03" w:rsidRDefault="00F86B03" w:rsidP="00DC106C">
      <w:pPr>
        <w:autoSpaceDE w:val="0"/>
        <w:autoSpaceDN w:val="0"/>
        <w:adjustRightInd w:val="0"/>
        <w:spacing w:after="0" w:line="240" w:lineRule="auto"/>
        <w:ind w:left="720"/>
        <w:rPr>
          <w:rFonts w:ascii="MyriadPro-Regular" w:hAnsi="MyriadPro-Regular" w:cs="MyriadPro-Regular"/>
          <w:color w:val="000F31"/>
          <w:sz w:val="20"/>
          <w:szCs w:val="20"/>
        </w:rPr>
      </w:pPr>
      <w:r>
        <w:rPr>
          <w:rFonts w:ascii="MyriadPro-Regular" w:hAnsi="MyriadPro-Regular" w:cs="MyriadPro-Regular"/>
          <w:color w:val="000F31"/>
          <w:sz w:val="20"/>
          <w:szCs w:val="20"/>
        </w:rPr>
        <w:t>• U.S. lands are managed by a diverse group of stakeholders for a wide variety of objectives. Achieving the land sector</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goals of the MCS will require developing partnerships and other forms of close cooperation with millions of private</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landowners, private sector corporations, and non-governmental organizations, as well as tribal, local, state, and federal</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government agencies.</w:t>
      </w:r>
      <w:r w:rsidR="00DC106C">
        <w:rPr>
          <w:rFonts w:ascii="MyriadPro-Regular" w:hAnsi="MyriadPro-Regular" w:cs="MyriadPro-Regular"/>
          <w:color w:val="000F31"/>
          <w:sz w:val="20"/>
          <w:szCs w:val="20"/>
        </w:rPr>
        <w:br/>
      </w:r>
    </w:p>
    <w:p w14:paraId="26C7F7CF" w14:textId="2AEBECC2" w:rsidR="00F86B03" w:rsidRDefault="00F86B03" w:rsidP="00DC106C">
      <w:pPr>
        <w:autoSpaceDE w:val="0"/>
        <w:autoSpaceDN w:val="0"/>
        <w:adjustRightInd w:val="0"/>
        <w:spacing w:after="0" w:line="240" w:lineRule="auto"/>
        <w:ind w:left="720"/>
        <w:rPr>
          <w:rFonts w:ascii="MyriadPro-Regular" w:hAnsi="MyriadPro-Regular" w:cs="MyriadPro-Regular"/>
          <w:color w:val="000F31"/>
          <w:sz w:val="20"/>
          <w:szCs w:val="20"/>
        </w:rPr>
      </w:pPr>
      <w:r>
        <w:rPr>
          <w:rFonts w:ascii="MyriadPro-Regular" w:hAnsi="MyriadPro-Regular" w:cs="MyriadPro-Regular"/>
          <w:color w:val="000F31"/>
          <w:sz w:val="20"/>
          <w:szCs w:val="20"/>
        </w:rPr>
        <w:t>• Using carbon reporting, accounting, and monitoring tools can help ensure we are supporting the most cost-effective</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land-based mitigation investments, while maximizing flexibility for stakeholders to make decisions about what strategies</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will work for them.</w:t>
      </w:r>
      <w:r w:rsidR="00DC106C">
        <w:rPr>
          <w:rFonts w:ascii="MyriadPro-Regular" w:hAnsi="MyriadPro-Regular" w:cs="MyriadPro-Regular"/>
          <w:color w:val="000F31"/>
          <w:sz w:val="20"/>
          <w:szCs w:val="20"/>
        </w:rPr>
        <w:br/>
      </w:r>
    </w:p>
    <w:p w14:paraId="607A9072" w14:textId="77777777" w:rsidR="00F86B03" w:rsidRDefault="00F86B03" w:rsidP="00DC106C">
      <w:pPr>
        <w:autoSpaceDE w:val="0"/>
        <w:autoSpaceDN w:val="0"/>
        <w:adjustRightInd w:val="0"/>
        <w:spacing w:after="0" w:line="240" w:lineRule="auto"/>
        <w:ind w:left="720"/>
        <w:rPr>
          <w:rFonts w:ascii="MyriadPro-Regular" w:hAnsi="MyriadPro-Regular" w:cs="MyriadPro-Regular"/>
          <w:color w:val="000F31"/>
          <w:sz w:val="20"/>
          <w:szCs w:val="20"/>
        </w:rPr>
      </w:pPr>
      <w:r>
        <w:rPr>
          <w:rFonts w:ascii="MyriadPro-Regular" w:hAnsi="MyriadPro-Regular" w:cs="MyriadPro-Regular"/>
          <w:color w:val="000F31"/>
          <w:sz w:val="20"/>
          <w:szCs w:val="20"/>
        </w:rPr>
        <w:t>• Timing of land sector action is critical. Delivering significant land carbon sequestration by 2050 requires initiating</w:t>
      </w:r>
    </w:p>
    <w:p w14:paraId="590453DB" w14:textId="0205932E" w:rsidR="00F86B03" w:rsidRDefault="00F86B03" w:rsidP="00DC106C">
      <w:pPr>
        <w:autoSpaceDE w:val="0"/>
        <w:autoSpaceDN w:val="0"/>
        <w:adjustRightInd w:val="0"/>
        <w:spacing w:after="0" w:line="240" w:lineRule="auto"/>
        <w:ind w:left="720"/>
        <w:rPr>
          <w:rFonts w:ascii="MyriadPro-Regular" w:hAnsi="MyriadPro-Regular" w:cs="MyriadPro-Regular"/>
          <w:color w:val="000F31"/>
          <w:sz w:val="20"/>
          <w:szCs w:val="20"/>
        </w:rPr>
      </w:pPr>
      <w:r>
        <w:rPr>
          <w:rFonts w:ascii="MyriadPro-Regular" w:hAnsi="MyriadPro-Regular" w:cs="MyriadPro-Regular"/>
          <w:color w:val="000F31"/>
          <w:sz w:val="20"/>
          <w:szCs w:val="20"/>
        </w:rPr>
        <w:t>investments soon.</w:t>
      </w:r>
      <w:r w:rsidR="00DC106C">
        <w:rPr>
          <w:rFonts w:ascii="MyriadPro-Regular" w:hAnsi="MyriadPro-Regular" w:cs="MyriadPro-Regular"/>
          <w:color w:val="000F31"/>
          <w:sz w:val="20"/>
          <w:szCs w:val="20"/>
        </w:rPr>
        <w:br/>
      </w:r>
    </w:p>
    <w:p w14:paraId="41A6743D" w14:textId="4B302D9A" w:rsidR="00F86B03" w:rsidRDefault="00F86B03" w:rsidP="00DC106C">
      <w:pPr>
        <w:autoSpaceDE w:val="0"/>
        <w:autoSpaceDN w:val="0"/>
        <w:adjustRightInd w:val="0"/>
        <w:spacing w:after="0" w:line="240" w:lineRule="auto"/>
        <w:ind w:left="720"/>
        <w:rPr>
          <w:rFonts w:ascii="MyriadPro-Regular" w:hAnsi="MyriadPro-Regular" w:cs="MyriadPro-Regular"/>
          <w:color w:val="000F31"/>
          <w:sz w:val="20"/>
          <w:szCs w:val="20"/>
        </w:rPr>
      </w:pPr>
      <w:r>
        <w:rPr>
          <w:rFonts w:ascii="MyriadPro-Regular" w:hAnsi="MyriadPro-Regular" w:cs="MyriadPro-Regular"/>
          <w:color w:val="000F31"/>
          <w:sz w:val="20"/>
          <w:szCs w:val="20"/>
        </w:rPr>
        <w:t>• Some aspects of the MCS vision have the potential for large-scale land use changes. Putting in place policy “check points”</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over time that assess the effects of deep decarbonization activities in the land sector can help further tailor climate</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policies to ensure we are avoiding unintended impacts and appropriately modifying incentives and policies to reflect</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the latest science.</w:t>
      </w:r>
    </w:p>
    <w:p w14:paraId="462F8A36" w14:textId="77777777" w:rsidR="00DC106C" w:rsidRDefault="00DC106C" w:rsidP="00F86B03">
      <w:pPr>
        <w:autoSpaceDE w:val="0"/>
        <w:autoSpaceDN w:val="0"/>
        <w:adjustRightInd w:val="0"/>
        <w:spacing w:after="0" w:line="240" w:lineRule="auto"/>
        <w:rPr>
          <w:rFonts w:ascii="MyriadPro-Regular" w:hAnsi="MyriadPro-Regular" w:cs="MyriadPro-Regular"/>
          <w:color w:val="000F31"/>
          <w:sz w:val="20"/>
          <w:szCs w:val="20"/>
        </w:rPr>
      </w:pPr>
    </w:p>
    <w:p w14:paraId="51677627" w14:textId="78D41DF3" w:rsidR="00F86B03" w:rsidRDefault="00F86B03" w:rsidP="00F86B03">
      <w:pPr>
        <w:autoSpaceDE w:val="0"/>
        <w:autoSpaceDN w:val="0"/>
        <w:adjustRightInd w:val="0"/>
        <w:spacing w:after="0" w:line="240" w:lineRule="auto"/>
        <w:rPr>
          <w:rFonts w:ascii="MyriadPro-Regular" w:hAnsi="MyriadPro-Regular" w:cs="MyriadPro-Regular"/>
          <w:color w:val="000F31"/>
          <w:sz w:val="20"/>
          <w:szCs w:val="20"/>
        </w:rPr>
      </w:pPr>
      <w:r>
        <w:rPr>
          <w:rFonts w:ascii="MyriadPro-Regular" w:hAnsi="MyriadPro-Regular" w:cs="MyriadPro-Regular"/>
          <w:color w:val="000F31"/>
          <w:sz w:val="20"/>
          <w:szCs w:val="20"/>
        </w:rPr>
        <w:t>Climate action in the land sector can build upon existing policies and programs like the U.S. Department of Agriculture’s (USDA)</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Building Blocks for Climate Smart Agriculture and Forestry. The USDA Building Blocks, launched in 2015, are designed to help</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farmers, ranchers, forest landowners, and rural communities respond to climate change. The ten Building Blocks span a range of</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technologies and practices to reduce GHG emissions, increase carbon storage, and generate clean energy, including actions to</w:t>
      </w:r>
      <w:r w:rsidR="00DC106C">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promote:</w:t>
      </w:r>
    </w:p>
    <w:p w14:paraId="7C8DFC8B" w14:textId="77777777" w:rsidR="00DC106C" w:rsidRDefault="00DC106C" w:rsidP="00F86B03">
      <w:pPr>
        <w:autoSpaceDE w:val="0"/>
        <w:autoSpaceDN w:val="0"/>
        <w:adjustRightInd w:val="0"/>
        <w:spacing w:after="0" w:line="240" w:lineRule="auto"/>
        <w:rPr>
          <w:rFonts w:ascii="MyriadPro-Regular" w:hAnsi="MyriadPro-Regular" w:cs="MyriadPro-Regular"/>
          <w:color w:val="000F31"/>
          <w:sz w:val="20"/>
          <w:szCs w:val="20"/>
        </w:rPr>
      </w:pPr>
    </w:p>
    <w:p w14:paraId="150CD83F" w14:textId="77777777" w:rsidR="00DC106C" w:rsidRDefault="00DC106C" w:rsidP="00F86B03">
      <w:pPr>
        <w:autoSpaceDE w:val="0"/>
        <w:autoSpaceDN w:val="0"/>
        <w:adjustRightInd w:val="0"/>
        <w:spacing w:after="0" w:line="240" w:lineRule="auto"/>
        <w:rPr>
          <w:rFonts w:ascii="MyriadPro-Bold" w:hAnsi="MyriadPro-Bold" w:cs="MyriadPro-Bold"/>
          <w:b/>
          <w:bCs/>
          <w:color w:val="000F31"/>
        </w:rPr>
        <w:sectPr w:rsidR="00DC106C">
          <w:pgSz w:w="12240" w:h="15840"/>
          <w:pgMar w:top="1440" w:right="1440" w:bottom="1440" w:left="1440" w:header="720" w:footer="720" w:gutter="0"/>
          <w:cols w:space="720"/>
          <w:docGrid w:linePitch="360"/>
        </w:sectPr>
      </w:pPr>
    </w:p>
    <w:p w14:paraId="185FBA67" w14:textId="0B8554A4" w:rsidR="00F86B03" w:rsidRDefault="00F86B03" w:rsidP="00F86B03">
      <w:pPr>
        <w:autoSpaceDE w:val="0"/>
        <w:autoSpaceDN w:val="0"/>
        <w:adjustRightInd w:val="0"/>
        <w:spacing w:after="0" w:line="240" w:lineRule="auto"/>
        <w:rPr>
          <w:rFonts w:ascii="MyriadPro-Bold" w:hAnsi="MyriadPro-Bold" w:cs="MyriadPro-Bold"/>
          <w:b/>
          <w:bCs/>
          <w:color w:val="000F31"/>
        </w:rPr>
      </w:pPr>
      <w:r>
        <w:rPr>
          <w:rFonts w:ascii="MyriadPro-Bold" w:hAnsi="MyriadPro-Bold" w:cs="MyriadPro-Bold"/>
          <w:b/>
          <w:bCs/>
          <w:color w:val="000F31"/>
        </w:rPr>
        <w:t>• Soil Health</w:t>
      </w:r>
    </w:p>
    <w:p w14:paraId="2B7EC275" w14:textId="77777777" w:rsidR="00F86B03" w:rsidRDefault="00F86B03" w:rsidP="00F86B03">
      <w:pPr>
        <w:autoSpaceDE w:val="0"/>
        <w:autoSpaceDN w:val="0"/>
        <w:adjustRightInd w:val="0"/>
        <w:spacing w:after="0" w:line="240" w:lineRule="auto"/>
        <w:rPr>
          <w:rFonts w:ascii="MyriadPro-Bold" w:hAnsi="MyriadPro-Bold" w:cs="MyriadPro-Bold"/>
          <w:b/>
          <w:bCs/>
          <w:color w:val="000F31"/>
        </w:rPr>
      </w:pPr>
      <w:r>
        <w:rPr>
          <w:rFonts w:ascii="MyriadPro-Bold" w:hAnsi="MyriadPro-Bold" w:cs="MyriadPro-Bold"/>
          <w:b/>
          <w:bCs/>
          <w:color w:val="000F31"/>
        </w:rPr>
        <w:t>• Nitrogen Stewardship</w:t>
      </w:r>
    </w:p>
    <w:p w14:paraId="38F6CF75" w14:textId="77777777" w:rsidR="00F86B03" w:rsidRDefault="00F86B03" w:rsidP="00F86B03">
      <w:pPr>
        <w:autoSpaceDE w:val="0"/>
        <w:autoSpaceDN w:val="0"/>
        <w:adjustRightInd w:val="0"/>
        <w:spacing w:after="0" w:line="240" w:lineRule="auto"/>
        <w:rPr>
          <w:rFonts w:ascii="MyriadPro-Bold" w:hAnsi="MyriadPro-Bold" w:cs="MyriadPro-Bold"/>
          <w:b/>
          <w:bCs/>
          <w:color w:val="000F31"/>
        </w:rPr>
      </w:pPr>
      <w:r>
        <w:rPr>
          <w:rFonts w:ascii="MyriadPro-Bold" w:hAnsi="MyriadPro-Bold" w:cs="MyriadPro-Bold"/>
          <w:b/>
          <w:bCs/>
          <w:color w:val="000F31"/>
        </w:rPr>
        <w:t>• Livestock Partnerships</w:t>
      </w:r>
    </w:p>
    <w:p w14:paraId="6F8183E2" w14:textId="77777777" w:rsidR="00F86B03" w:rsidRDefault="00F86B03" w:rsidP="00F86B03">
      <w:pPr>
        <w:autoSpaceDE w:val="0"/>
        <w:autoSpaceDN w:val="0"/>
        <w:adjustRightInd w:val="0"/>
        <w:spacing w:after="0" w:line="240" w:lineRule="auto"/>
        <w:rPr>
          <w:rFonts w:ascii="MyriadPro-Bold" w:hAnsi="MyriadPro-Bold" w:cs="MyriadPro-Bold"/>
          <w:b/>
          <w:bCs/>
          <w:color w:val="000F31"/>
        </w:rPr>
      </w:pPr>
      <w:r>
        <w:rPr>
          <w:rFonts w:ascii="MyriadPro-Bold" w:hAnsi="MyriadPro-Bold" w:cs="MyriadPro-Bold"/>
          <w:b/>
          <w:bCs/>
          <w:color w:val="000F31"/>
        </w:rPr>
        <w:t>• Conservation of Sensitive Lands</w:t>
      </w:r>
    </w:p>
    <w:p w14:paraId="56AD60C6" w14:textId="77777777" w:rsidR="00F86B03" w:rsidRDefault="00F86B03" w:rsidP="00F86B03">
      <w:pPr>
        <w:autoSpaceDE w:val="0"/>
        <w:autoSpaceDN w:val="0"/>
        <w:adjustRightInd w:val="0"/>
        <w:spacing w:after="0" w:line="240" w:lineRule="auto"/>
        <w:rPr>
          <w:rFonts w:ascii="MyriadPro-Bold" w:hAnsi="MyriadPro-Bold" w:cs="MyriadPro-Bold"/>
          <w:b/>
          <w:bCs/>
          <w:color w:val="000F31"/>
        </w:rPr>
      </w:pPr>
      <w:r>
        <w:rPr>
          <w:rFonts w:ascii="MyriadPro-Bold" w:hAnsi="MyriadPro-Bold" w:cs="MyriadPro-Bold"/>
          <w:b/>
          <w:bCs/>
          <w:color w:val="000F31"/>
        </w:rPr>
        <w:t>• Grazing and Pasture Lands</w:t>
      </w:r>
    </w:p>
    <w:p w14:paraId="54666684" w14:textId="77777777" w:rsidR="00F86B03" w:rsidRDefault="00F86B03" w:rsidP="00F86B03">
      <w:pPr>
        <w:autoSpaceDE w:val="0"/>
        <w:autoSpaceDN w:val="0"/>
        <w:adjustRightInd w:val="0"/>
        <w:spacing w:after="0" w:line="240" w:lineRule="auto"/>
        <w:rPr>
          <w:rFonts w:ascii="MyriadPro-Bold" w:hAnsi="MyriadPro-Bold" w:cs="MyriadPro-Bold"/>
          <w:b/>
          <w:bCs/>
          <w:color w:val="000F31"/>
        </w:rPr>
      </w:pPr>
      <w:r>
        <w:rPr>
          <w:rFonts w:ascii="MyriadPro-Bold" w:hAnsi="MyriadPro-Bold" w:cs="MyriadPro-Bold"/>
          <w:b/>
          <w:bCs/>
          <w:color w:val="000F31"/>
        </w:rPr>
        <w:t>• Private Forest Growth and Retention</w:t>
      </w:r>
    </w:p>
    <w:p w14:paraId="7777C6F1" w14:textId="77777777" w:rsidR="00F86B03" w:rsidRDefault="00F86B03" w:rsidP="00F86B03">
      <w:pPr>
        <w:autoSpaceDE w:val="0"/>
        <w:autoSpaceDN w:val="0"/>
        <w:adjustRightInd w:val="0"/>
        <w:spacing w:after="0" w:line="240" w:lineRule="auto"/>
        <w:rPr>
          <w:rFonts w:ascii="MyriadPro-Bold" w:hAnsi="MyriadPro-Bold" w:cs="MyriadPro-Bold"/>
          <w:b/>
          <w:bCs/>
          <w:color w:val="000F31"/>
        </w:rPr>
      </w:pPr>
      <w:r>
        <w:rPr>
          <w:rFonts w:ascii="MyriadPro-Bold" w:hAnsi="MyriadPro-Bold" w:cs="MyriadPro-Bold"/>
          <w:b/>
          <w:bCs/>
          <w:color w:val="000F31"/>
        </w:rPr>
        <w:t>• Stewardship of Federal Forests</w:t>
      </w:r>
    </w:p>
    <w:p w14:paraId="49180875" w14:textId="77777777" w:rsidR="00F86B03" w:rsidRDefault="00F86B03" w:rsidP="00F86B03">
      <w:pPr>
        <w:autoSpaceDE w:val="0"/>
        <w:autoSpaceDN w:val="0"/>
        <w:adjustRightInd w:val="0"/>
        <w:spacing w:after="0" w:line="240" w:lineRule="auto"/>
        <w:rPr>
          <w:rFonts w:ascii="MyriadPro-Bold" w:hAnsi="MyriadPro-Bold" w:cs="MyriadPro-Bold"/>
          <w:b/>
          <w:bCs/>
          <w:color w:val="000F31"/>
        </w:rPr>
      </w:pPr>
      <w:r>
        <w:rPr>
          <w:rFonts w:ascii="MyriadPro-Bold" w:hAnsi="MyriadPro-Bold" w:cs="MyriadPro-Bold"/>
          <w:b/>
          <w:bCs/>
          <w:color w:val="000F31"/>
        </w:rPr>
        <w:t>• Promotion of Wood Products</w:t>
      </w:r>
    </w:p>
    <w:p w14:paraId="3A09428D" w14:textId="77777777" w:rsidR="00F86B03" w:rsidRDefault="00F86B03" w:rsidP="00F86B03">
      <w:pPr>
        <w:autoSpaceDE w:val="0"/>
        <w:autoSpaceDN w:val="0"/>
        <w:adjustRightInd w:val="0"/>
        <w:spacing w:after="0" w:line="240" w:lineRule="auto"/>
        <w:rPr>
          <w:rFonts w:ascii="MyriadPro-Bold" w:hAnsi="MyriadPro-Bold" w:cs="MyriadPro-Bold"/>
          <w:b/>
          <w:bCs/>
          <w:color w:val="000F31"/>
        </w:rPr>
      </w:pPr>
      <w:r>
        <w:rPr>
          <w:rFonts w:ascii="MyriadPro-Bold" w:hAnsi="MyriadPro-Bold" w:cs="MyriadPro-Bold"/>
          <w:b/>
          <w:bCs/>
          <w:color w:val="000F31"/>
        </w:rPr>
        <w:t>• Urban Forests</w:t>
      </w:r>
    </w:p>
    <w:p w14:paraId="587AD683" w14:textId="6526B984" w:rsidR="00F86B03" w:rsidRDefault="00F86B03" w:rsidP="00DC106C">
      <w:pPr>
        <w:rPr>
          <w:rFonts w:ascii="MyriadPro-Bold" w:hAnsi="MyriadPro-Bold" w:cs="MyriadPro-Bold"/>
          <w:b/>
          <w:bCs/>
          <w:color w:val="000F31"/>
        </w:rPr>
      </w:pPr>
      <w:r>
        <w:rPr>
          <w:rFonts w:ascii="MyriadPro-Bold" w:hAnsi="MyriadPro-Bold" w:cs="MyriadPro-Bold"/>
          <w:b/>
          <w:bCs/>
          <w:color w:val="000F31"/>
        </w:rPr>
        <w:t>• Energy Generation and Efficiency</w:t>
      </w:r>
    </w:p>
    <w:p w14:paraId="64A41D9F" w14:textId="77777777" w:rsidR="00DC106C" w:rsidRDefault="00DC106C" w:rsidP="00DC106C">
      <w:pPr>
        <w:autoSpaceDE w:val="0"/>
        <w:autoSpaceDN w:val="0"/>
        <w:adjustRightInd w:val="0"/>
        <w:spacing w:after="0" w:line="240" w:lineRule="auto"/>
        <w:rPr>
          <w:rFonts w:ascii="MyriadPro-Regular" w:hAnsi="MyriadPro-Regular" w:cs="MyriadPro-Regular"/>
          <w:color w:val="000F31"/>
          <w:sz w:val="20"/>
          <w:szCs w:val="20"/>
        </w:rPr>
        <w:sectPr w:rsidR="00DC106C" w:rsidSect="00DC106C">
          <w:type w:val="continuous"/>
          <w:pgSz w:w="12240" w:h="15840"/>
          <w:pgMar w:top="1440" w:right="1440" w:bottom="1440" w:left="1440" w:header="720" w:footer="720" w:gutter="0"/>
          <w:cols w:num="2" w:space="720"/>
          <w:docGrid w:linePitch="360"/>
        </w:sectPr>
      </w:pPr>
    </w:p>
    <w:p w14:paraId="1851D6CB" w14:textId="28D09300" w:rsidR="00DC106C" w:rsidRDefault="00DC106C" w:rsidP="00DC106C">
      <w:pPr>
        <w:autoSpaceDE w:val="0"/>
        <w:autoSpaceDN w:val="0"/>
        <w:adjustRightInd w:val="0"/>
        <w:spacing w:after="0" w:line="240" w:lineRule="auto"/>
        <w:rPr>
          <w:rFonts w:ascii="MyriadPro-Regular" w:hAnsi="MyriadPro-Regular" w:cs="MyriadPro-Regular"/>
          <w:color w:val="000F31"/>
          <w:sz w:val="20"/>
          <w:szCs w:val="20"/>
        </w:rPr>
      </w:pPr>
      <w:r w:rsidRPr="00375778">
        <w:rPr>
          <w:rFonts w:ascii="MyriadPro-Regular" w:hAnsi="MyriadPro-Regular" w:cs="MyriadPro-Regular"/>
          <w:color w:val="000F31"/>
          <w:sz w:val="20"/>
          <w:szCs w:val="20"/>
          <w:highlight w:val="yellow"/>
        </w:rPr>
        <w:t>Through the suite of existing USDA programs and authorities, the Building Blocks look to reduce emissions by more than 120 million tons of CO</w:t>
      </w:r>
      <w:r w:rsidRPr="00375778">
        <w:rPr>
          <w:rFonts w:ascii="MyriadPro-Regular" w:hAnsi="MyriadPro-Regular" w:cs="MyriadPro-Regular"/>
          <w:color w:val="000F31"/>
          <w:sz w:val="12"/>
          <w:szCs w:val="12"/>
          <w:highlight w:val="yellow"/>
        </w:rPr>
        <w:t xml:space="preserve">2 </w:t>
      </w:r>
      <w:r w:rsidRPr="00375778">
        <w:rPr>
          <w:rFonts w:ascii="MyriadPro-Regular" w:hAnsi="MyriadPro-Regular" w:cs="MyriadPro-Regular"/>
          <w:color w:val="000F31"/>
          <w:sz w:val="20"/>
          <w:szCs w:val="20"/>
          <w:highlight w:val="yellow"/>
        </w:rPr>
        <w:t>annually by 2025, with half of this supported through renewables and energy efficiency in rural areas, a quarter from reducing agricultural non-CO</w:t>
      </w:r>
      <w:r w:rsidRPr="00375778">
        <w:rPr>
          <w:rFonts w:ascii="MyriadPro-Regular" w:hAnsi="MyriadPro-Regular" w:cs="MyriadPro-Regular"/>
          <w:color w:val="000F31"/>
          <w:sz w:val="12"/>
          <w:szCs w:val="12"/>
          <w:highlight w:val="yellow"/>
        </w:rPr>
        <w:t xml:space="preserve">2 </w:t>
      </w:r>
      <w:r w:rsidRPr="00375778">
        <w:rPr>
          <w:rFonts w:ascii="MyriadPro-Regular" w:hAnsi="MyriadPro-Regular" w:cs="MyriadPro-Regular"/>
          <w:color w:val="000F31"/>
          <w:sz w:val="20"/>
          <w:szCs w:val="20"/>
          <w:highlight w:val="yellow"/>
        </w:rPr>
        <w:t>emissions, and the remainder through bolstering the carbon sink.</w:t>
      </w:r>
      <w:r>
        <w:rPr>
          <w:rFonts w:ascii="MyriadPro-Regular" w:hAnsi="MyriadPro-Regular" w:cs="MyriadPro-Regular"/>
          <w:color w:val="000F31"/>
          <w:sz w:val="20"/>
          <w:szCs w:val="20"/>
        </w:rPr>
        <w:t xml:space="preserve"> The Building Blocks</w:t>
      </w:r>
      <w:r>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are an important first step towards achieving our 2050 goals. Realizing these goals will, like the other programs and priorities</w:t>
      </w:r>
      <w:r>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outlined in this chapter, require an increasing commitment of resources, research and development support, outreach, and</w:t>
      </w:r>
      <w:r>
        <w:rPr>
          <w:rFonts w:ascii="MyriadPro-Regular" w:hAnsi="MyriadPro-Regular" w:cs="MyriadPro-Regular"/>
          <w:color w:val="000F31"/>
          <w:sz w:val="20"/>
          <w:szCs w:val="20"/>
        </w:rPr>
        <w:t xml:space="preserve"> </w:t>
      </w:r>
      <w:r>
        <w:rPr>
          <w:rFonts w:ascii="MyriadPro-Regular" w:hAnsi="MyriadPro-Regular" w:cs="MyriadPro-Regular"/>
          <w:color w:val="000F31"/>
          <w:sz w:val="20"/>
          <w:szCs w:val="20"/>
        </w:rPr>
        <w:t>partnering with farmers, ranchers, forest owners, commodity groups, environmental organizations, and others.</w:t>
      </w:r>
    </w:p>
    <w:p w14:paraId="19A7F178" w14:textId="54A34D60" w:rsidR="00DC106C" w:rsidRDefault="00DC106C" w:rsidP="00DC106C"/>
    <w:p w14:paraId="091E90B0" w14:textId="335487E4" w:rsidR="007B02C7" w:rsidRPr="007F2F65" w:rsidRDefault="007B02C7" w:rsidP="007F2F65">
      <w:pPr>
        <w:pStyle w:val="ListParagraph"/>
        <w:numPr>
          <w:ilvl w:val="0"/>
          <w:numId w:val="1"/>
        </w:numPr>
        <w:rPr>
          <w:b/>
          <w:bCs/>
        </w:rPr>
      </w:pPr>
      <w:r w:rsidRPr="007F2F65">
        <w:rPr>
          <w:b/>
          <w:bCs/>
          <w:sz w:val="24"/>
          <w:szCs w:val="24"/>
        </w:rPr>
        <w:t xml:space="preserve">Joseph E. </w:t>
      </w:r>
      <w:proofErr w:type="spellStart"/>
      <w:r w:rsidRPr="007F2F65">
        <w:rPr>
          <w:b/>
          <w:bCs/>
          <w:sz w:val="24"/>
          <w:szCs w:val="24"/>
        </w:rPr>
        <w:t>Fargione</w:t>
      </w:r>
      <w:proofErr w:type="spellEnd"/>
      <w:r w:rsidRPr="007F2F65">
        <w:rPr>
          <w:b/>
          <w:bCs/>
          <w:sz w:val="24"/>
          <w:szCs w:val="24"/>
        </w:rPr>
        <w:t xml:space="preserve">, Steven Bassett, Timothy Boucher, Scott D. </w:t>
      </w:r>
      <w:proofErr w:type="spellStart"/>
      <w:r w:rsidRPr="007F2F65">
        <w:rPr>
          <w:b/>
          <w:bCs/>
          <w:sz w:val="24"/>
          <w:szCs w:val="24"/>
        </w:rPr>
        <w:t>Bridgham</w:t>
      </w:r>
      <w:proofErr w:type="spellEnd"/>
      <w:r w:rsidRPr="007F2F65">
        <w:rPr>
          <w:b/>
          <w:bCs/>
          <w:sz w:val="24"/>
          <w:szCs w:val="24"/>
        </w:rPr>
        <w:t xml:space="preserve"> et al. </w:t>
      </w:r>
      <w:r w:rsidRPr="007F2F65">
        <w:rPr>
          <w:b/>
          <w:bCs/>
          <w:sz w:val="24"/>
          <w:szCs w:val="24"/>
        </w:rPr>
        <w:t>(Nov.14.2018).</w:t>
      </w:r>
      <w:r w:rsidRPr="007F2F65">
        <w:rPr>
          <w:b/>
          <w:bCs/>
          <w:sz w:val="24"/>
          <w:szCs w:val="24"/>
        </w:rPr>
        <w:t>Natural Climate Solutions for the United States. Science Advances</w:t>
      </w:r>
      <w:r w:rsidRPr="007F2F65">
        <w:rPr>
          <w:b/>
          <w:bCs/>
        </w:rPr>
        <w:t xml:space="preserve"> </w:t>
      </w:r>
      <w:r w:rsidRPr="007F2F65">
        <w:t>at</w:t>
      </w:r>
      <w:r w:rsidRPr="007F2F65">
        <w:rPr>
          <w:b/>
          <w:bCs/>
        </w:rPr>
        <w:t xml:space="preserve"> </w:t>
      </w:r>
      <w:hyperlink r:id="rId22" w:history="1">
        <w:r w:rsidRPr="004767F1">
          <w:rPr>
            <w:rStyle w:val="Hyperlink"/>
          </w:rPr>
          <w:t>https://advances.sciencemag.org/content/advances/4/11/eaat1869.full.pdf</w:t>
        </w:r>
      </w:hyperlink>
    </w:p>
    <w:p w14:paraId="06080E51" w14:textId="552CC064" w:rsidR="007B02C7" w:rsidRPr="00D875CB" w:rsidRDefault="00D875CB" w:rsidP="00D875CB">
      <w:pPr>
        <w:rPr>
          <w:b/>
          <w:bCs/>
        </w:rPr>
      </w:pPr>
      <w:r>
        <w:rPr>
          <w:b/>
          <w:bCs/>
        </w:rPr>
        <w:lastRenderedPageBreak/>
        <w:t xml:space="preserve">Abstract: </w:t>
      </w:r>
      <w:r>
        <w:t>Limiting climate warming to &lt;2°C requires increased mitigation efforts, including land stewardship, whose potential</w:t>
      </w:r>
      <w:r>
        <w:t xml:space="preserve"> </w:t>
      </w:r>
      <w:r>
        <w:t xml:space="preserve">in the United States is poorly understood. </w:t>
      </w:r>
      <w:r w:rsidRPr="00375778">
        <w:rPr>
          <w:highlight w:val="yellow"/>
        </w:rPr>
        <w:t>We quantified the potential of natural climate solutions (NCS)—21</w:t>
      </w:r>
      <w:r w:rsidRPr="00375778">
        <w:rPr>
          <w:highlight w:val="yellow"/>
        </w:rPr>
        <w:t xml:space="preserve"> </w:t>
      </w:r>
      <w:r w:rsidRPr="00375778">
        <w:rPr>
          <w:highlight w:val="yellow"/>
        </w:rPr>
        <w:t>conservation, restoration, and improved land management interventions on natural and agricultural lands—to</w:t>
      </w:r>
      <w:r w:rsidRPr="00375778">
        <w:rPr>
          <w:highlight w:val="yellow"/>
        </w:rPr>
        <w:t xml:space="preserve"> </w:t>
      </w:r>
      <w:r w:rsidRPr="00375778">
        <w:rPr>
          <w:highlight w:val="yellow"/>
        </w:rPr>
        <w:t>increase carbon storage and avoid greenhouse gas emissions in the United States.</w:t>
      </w:r>
      <w:r>
        <w:t xml:space="preserve"> </w:t>
      </w:r>
      <w:r w:rsidRPr="00375778">
        <w:rPr>
          <w:highlight w:val="yellow"/>
        </w:rPr>
        <w:t>We found a maximum potential</w:t>
      </w:r>
      <w:r w:rsidRPr="00375778">
        <w:rPr>
          <w:highlight w:val="yellow"/>
        </w:rPr>
        <w:t xml:space="preserve"> </w:t>
      </w:r>
      <w:r w:rsidRPr="00375778">
        <w:rPr>
          <w:highlight w:val="yellow"/>
        </w:rPr>
        <w:t xml:space="preserve">of 1.2 (0.9 to 1.6) </w:t>
      </w:r>
      <w:proofErr w:type="spellStart"/>
      <w:r w:rsidRPr="00375778">
        <w:rPr>
          <w:highlight w:val="yellow"/>
        </w:rPr>
        <w:t>Pg</w:t>
      </w:r>
      <w:proofErr w:type="spellEnd"/>
      <w:r w:rsidRPr="00375778">
        <w:rPr>
          <w:highlight w:val="yellow"/>
        </w:rPr>
        <w:t xml:space="preserve"> CO2e year−1, the equivalent of 21% of current net annual emissions of the United States. At</w:t>
      </w:r>
      <w:r w:rsidRPr="00375778">
        <w:rPr>
          <w:highlight w:val="yellow"/>
        </w:rPr>
        <w:t xml:space="preserve"> </w:t>
      </w:r>
      <w:r w:rsidRPr="00375778">
        <w:rPr>
          <w:highlight w:val="yellow"/>
        </w:rPr>
        <w:t xml:space="preserve">current carbon market prices (USD 10 per Mg CO2e), 299 </w:t>
      </w:r>
      <w:proofErr w:type="spellStart"/>
      <w:r w:rsidRPr="00375778">
        <w:rPr>
          <w:highlight w:val="yellow"/>
        </w:rPr>
        <w:t>Tg</w:t>
      </w:r>
      <w:proofErr w:type="spellEnd"/>
      <w:r w:rsidRPr="00375778">
        <w:rPr>
          <w:highlight w:val="yellow"/>
        </w:rPr>
        <w:t xml:space="preserve"> CO2e year−1 could be achieved. NCS would also provide</w:t>
      </w:r>
      <w:r w:rsidRPr="00375778">
        <w:rPr>
          <w:highlight w:val="yellow"/>
        </w:rPr>
        <w:t xml:space="preserve"> </w:t>
      </w:r>
      <w:r w:rsidRPr="00375778">
        <w:rPr>
          <w:highlight w:val="yellow"/>
        </w:rPr>
        <w:t>air and water filtration, flood control, soil health, wildlife habitat, and climate resilience benefits.</w:t>
      </w:r>
    </w:p>
    <w:p w14:paraId="32F26639" w14:textId="77777777" w:rsidR="00D875CB" w:rsidRDefault="00D875CB" w:rsidP="00D875CB"/>
    <w:p w14:paraId="18E6DDB7" w14:textId="2B4007B3" w:rsidR="00D875CB" w:rsidRDefault="00D875CB" w:rsidP="00D875CB">
      <w:pPr>
        <w:jc w:val="center"/>
      </w:pPr>
      <w:r>
        <w:rPr>
          <w:noProof/>
        </w:rPr>
        <w:drawing>
          <wp:inline distT="0" distB="0" distL="0" distR="0" wp14:anchorId="527421C3" wp14:editId="6D537D53">
            <wp:extent cx="5963337" cy="45688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8659" t="22982" r="30512" b="7787"/>
                    <a:stretch/>
                  </pic:blipFill>
                  <pic:spPr bwMode="auto">
                    <a:xfrm>
                      <a:off x="0" y="0"/>
                      <a:ext cx="6001655" cy="4598183"/>
                    </a:xfrm>
                    <a:prstGeom prst="rect">
                      <a:avLst/>
                    </a:prstGeom>
                    <a:ln>
                      <a:noFill/>
                    </a:ln>
                    <a:extLst>
                      <a:ext uri="{53640926-AAD7-44D8-BBD7-CCE9431645EC}">
                        <a14:shadowObscured xmlns:a14="http://schemas.microsoft.com/office/drawing/2010/main"/>
                      </a:ext>
                    </a:extLst>
                  </pic:spPr>
                </pic:pic>
              </a:graphicData>
            </a:graphic>
          </wp:inline>
        </w:drawing>
      </w:r>
    </w:p>
    <w:sectPr w:rsidR="00D875CB" w:rsidSect="00DC106C">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yriadPro-Regular">
    <w:altName w:val="Calibri"/>
    <w:panose1 w:val="00000000000000000000"/>
    <w:charset w:val="00"/>
    <w:family w:val="swiss"/>
    <w:notTrueType/>
    <w:pitch w:val="default"/>
    <w:sig w:usb0="00000003" w:usb1="00000000" w:usb2="00000000" w:usb3="00000000" w:csb0="00000001" w:csb1="00000000"/>
  </w:font>
  <w:font w:name="MyriadPro-Bold">
    <w:altName w:val="Calibri"/>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C5AAA"/>
    <w:multiLevelType w:val="hybridMultilevel"/>
    <w:tmpl w:val="4A506DCC"/>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 w15:restartNumberingAfterBreak="0">
    <w:nsid w:val="0DD00F38"/>
    <w:multiLevelType w:val="hybridMultilevel"/>
    <w:tmpl w:val="9C064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FF13DE9"/>
    <w:multiLevelType w:val="hybridMultilevel"/>
    <w:tmpl w:val="F5FC5DC2"/>
    <w:lvl w:ilvl="0" w:tplc="CBA65BD2">
      <w:start w:val="1"/>
      <w:numFmt w:val="decimal"/>
      <w:lvlText w:val="%1."/>
      <w:lvlJc w:val="left"/>
      <w:pPr>
        <w:ind w:left="360" w:hanging="360"/>
      </w:pPr>
      <w:rPr>
        <w:rFonts w:hint="default"/>
        <w:b/>
        <w:color w:val="2222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65AC41F6"/>
    <w:multiLevelType w:val="hybridMultilevel"/>
    <w:tmpl w:val="24729A9C"/>
    <w:lvl w:ilvl="0" w:tplc="14F8C8CE">
      <w:start w:val="30"/>
      <w:numFmt w:val="decimal"/>
      <w:lvlText w:val="%1"/>
      <w:lvlJc w:val="left"/>
      <w:pPr>
        <w:ind w:left="720" w:hanging="360"/>
      </w:pPr>
      <w:rPr>
        <w:rFonts w:ascii="Calibri" w:hAnsi="Calibri" w:cs="Calibri" w:hint="default"/>
        <w:sz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6B03"/>
    <w:rsid w:val="000958AD"/>
    <w:rsid w:val="000B28E5"/>
    <w:rsid w:val="000B4F25"/>
    <w:rsid w:val="001504CA"/>
    <w:rsid w:val="00193E4F"/>
    <w:rsid w:val="00291A01"/>
    <w:rsid w:val="00375778"/>
    <w:rsid w:val="003D7D11"/>
    <w:rsid w:val="004C1E9D"/>
    <w:rsid w:val="0060165E"/>
    <w:rsid w:val="006D2E38"/>
    <w:rsid w:val="006E4A46"/>
    <w:rsid w:val="00720719"/>
    <w:rsid w:val="007321CA"/>
    <w:rsid w:val="00786B70"/>
    <w:rsid w:val="007B02C7"/>
    <w:rsid w:val="007D7D13"/>
    <w:rsid w:val="007F2F65"/>
    <w:rsid w:val="008E6FEF"/>
    <w:rsid w:val="00922378"/>
    <w:rsid w:val="00A9614A"/>
    <w:rsid w:val="00AE13A9"/>
    <w:rsid w:val="00B667AE"/>
    <w:rsid w:val="00BE28CD"/>
    <w:rsid w:val="00D875CB"/>
    <w:rsid w:val="00DC106C"/>
    <w:rsid w:val="00E90681"/>
    <w:rsid w:val="00F86B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012D10"/>
  <w15:chartTrackingRefBased/>
  <w15:docId w15:val="{D2C5BD2D-0B17-45A5-B539-84BA55709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E28C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B02C7"/>
    <w:rPr>
      <w:color w:val="0563C1" w:themeColor="hyperlink"/>
      <w:u w:val="single"/>
    </w:rPr>
  </w:style>
  <w:style w:type="character" w:styleId="UnresolvedMention">
    <w:name w:val="Unresolved Mention"/>
    <w:basedOn w:val="DefaultParagraphFont"/>
    <w:uiPriority w:val="99"/>
    <w:semiHidden/>
    <w:unhideWhenUsed/>
    <w:rsid w:val="007B02C7"/>
    <w:rPr>
      <w:color w:val="605E5C"/>
      <w:shd w:val="clear" w:color="auto" w:fill="E1DFDD"/>
    </w:rPr>
  </w:style>
  <w:style w:type="paragraph" w:styleId="ListParagraph">
    <w:name w:val="List Paragraph"/>
    <w:basedOn w:val="Normal"/>
    <w:uiPriority w:val="34"/>
    <w:qFormat/>
    <w:rsid w:val="00D875CB"/>
    <w:pPr>
      <w:ind w:left="720"/>
      <w:contextualSpacing/>
    </w:pPr>
  </w:style>
  <w:style w:type="character" w:customStyle="1" w:styleId="Heading1Char">
    <w:name w:val="Heading 1 Char"/>
    <w:basedOn w:val="DefaultParagraphFont"/>
    <w:link w:val="Heading1"/>
    <w:uiPriority w:val="9"/>
    <w:rsid w:val="00BE28CD"/>
    <w:rPr>
      <w:rFonts w:asciiTheme="majorHAnsi" w:eastAsiaTheme="majorEastAsia" w:hAnsiTheme="majorHAnsi" w:cstheme="majorBidi"/>
      <w:color w:val="2F5496" w:themeColor="accent1" w:themeShade="BF"/>
      <w:sz w:val="32"/>
      <w:szCs w:val="32"/>
    </w:rPr>
  </w:style>
  <w:style w:type="character" w:customStyle="1" w:styleId="u-visually-hidden">
    <w:name w:val="u-visually-hidden"/>
    <w:basedOn w:val="DefaultParagraphFont"/>
    <w:rsid w:val="001504CA"/>
  </w:style>
  <w:style w:type="character" w:customStyle="1" w:styleId="impact-label">
    <w:name w:val="impact-label"/>
    <w:basedOn w:val="DefaultParagraphFont"/>
    <w:rsid w:val="00AE13A9"/>
  </w:style>
  <w:style w:type="paragraph" w:styleId="NormalWeb">
    <w:name w:val="Normal (Web)"/>
    <w:basedOn w:val="Normal"/>
    <w:uiPriority w:val="99"/>
    <w:semiHidden/>
    <w:unhideWhenUsed/>
    <w:rsid w:val="00AE13A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30632801">
      <w:bodyDiv w:val="1"/>
      <w:marLeft w:val="0"/>
      <w:marRight w:val="0"/>
      <w:marTop w:val="0"/>
      <w:marBottom w:val="0"/>
      <w:divBdr>
        <w:top w:val="none" w:sz="0" w:space="0" w:color="auto"/>
        <w:left w:val="none" w:sz="0" w:space="0" w:color="auto"/>
        <w:bottom w:val="none" w:sz="0" w:space="0" w:color="auto"/>
        <w:right w:val="none" w:sz="0" w:space="0" w:color="auto"/>
      </w:divBdr>
    </w:div>
    <w:div w:id="932980085">
      <w:bodyDiv w:val="1"/>
      <w:marLeft w:val="0"/>
      <w:marRight w:val="0"/>
      <w:marTop w:val="0"/>
      <w:marBottom w:val="0"/>
      <w:divBdr>
        <w:top w:val="none" w:sz="0" w:space="0" w:color="auto"/>
        <w:left w:val="none" w:sz="0" w:space="0" w:color="auto"/>
        <w:bottom w:val="none" w:sz="0" w:space="0" w:color="auto"/>
        <w:right w:val="none" w:sz="0" w:space="0" w:color="auto"/>
      </w:divBdr>
    </w:div>
    <w:div w:id="1044911482">
      <w:bodyDiv w:val="1"/>
      <w:marLeft w:val="0"/>
      <w:marRight w:val="0"/>
      <w:marTop w:val="0"/>
      <w:marBottom w:val="0"/>
      <w:divBdr>
        <w:top w:val="none" w:sz="0" w:space="0" w:color="auto"/>
        <w:left w:val="none" w:sz="0" w:space="0" w:color="auto"/>
        <w:bottom w:val="none" w:sz="0" w:space="0" w:color="auto"/>
        <w:right w:val="none" w:sz="0" w:space="0" w:color="auto"/>
      </w:divBdr>
    </w:div>
    <w:div w:id="1104114125">
      <w:bodyDiv w:val="1"/>
      <w:marLeft w:val="0"/>
      <w:marRight w:val="0"/>
      <w:marTop w:val="0"/>
      <w:marBottom w:val="0"/>
      <w:divBdr>
        <w:top w:val="none" w:sz="0" w:space="0" w:color="auto"/>
        <w:left w:val="none" w:sz="0" w:space="0" w:color="auto"/>
        <w:bottom w:val="none" w:sz="0" w:space="0" w:color="auto"/>
        <w:right w:val="none" w:sz="0" w:space="0" w:color="auto"/>
      </w:divBdr>
      <w:divsChild>
        <w:div w:id="1775855360">
          <w:marLeft w:val="0"/>
          <w:marRight w:val="0"/>
          <w:marTop w:val="0"/>
          <w:marBottom w:val="0"/>
          <w:divBdr>
            <w:top w:val="none" w:sz="0" w:space="0" w:color="auto"/>
            <w:left w:val="none" w:sz="0" w:space="0" w:color="auto"/>
            <w:bottom w:val="none" w:sz="0" w:space="0" w:color="auto"/>
            <w:right w:val="none" w:sz="0" w:space="0" w:color="auto"/>
          </w:divBdr>
        </w:div>
        <w:div w:id="204759868">
          <w:marLeft w:val="0"/>
          <w:marRight w:val="0"/>
          <w:marTop w:val="0"/>
          <w:marBottom w:val="0"/>
          <w:divBdr>
            <w:top w:val="none" w:sz="0" w:space="0" w:color="auto"/>
            <w:left w:val="none" w:sz="0" w:space="0" w:color="auto"/>
            <w:bottom w:val="none" w:sz="0" w:space="0" w:color="auto"/>
            <w:right w:val="none" w:sz="0" w:space="0" w:color="auto"/>
          </w:divBdr>
        </w:div>
        <w:div w:id="1034355230">
          <w:marLeft w:val="0"/>
          <w:marRight w:val="0"/>
          <w:marTop w:val="0"/>
          <w:marBottom w:val="0"/>
          <w:divBdr>
            <w:top w:val="none" w:sz="0" w:space="0" w:color="auto"/>
            <w:left w:val="none" w:sz="0" w:space="0" w:color="auto"/>
            <w:bottom w:val="none" w:sz="0" w:space="0" w:color="auto"/>
            <w:right w:val="none" w:sz="0" w:space="0" w:color="auto"/>
          </w:divBdr>
          <w:divsChild>
            <w:div w:id="376782737">
              <w:marLeft w:val="0"/>
              <w:marRight w:val="0"/>
              <w:marTop w:val="0"/>
              <w:marBottom w:val="0"/>
              <w:divBdr>
                <w:top w:val="none" w:sz="0" w:space="0" w:color="auto"/>
                <w:left w:val="none" w:sz="0" w:space="0" w:color="auto"/>
                <w:bottom w:val="none" w:sz="0" w:space="0" w:color="auto"/>
                <w:right w:val="none" w:sz="0" w:space="0" w:color="auto"/>
              </w:divBdr>
            </w:div>
          </w:divsChild>
        </w:div>
        <w:div w:id="468715756">
          <w:marLeft w:val="0"/>
          <w:marRight w:val="0"/>
          <w:marTop w:val="0"/>
          <w:marBottom w:val="0"/>
          <w:divBdr>
            <w:top w:val="none" w:sz="0" w:space="0" w:color="auto"/>
            <w:left w:val="none" w:sz="0" w:space="0" w:color="auto"/>
            <w:bottom w:val="none" w:sz="0" w:space="0" w:color="auto"/>
            <w:right w:val="none" w:sz="0" w:space="0" w:color="auto"/>
          </w:divBdr>
          <w:divsChild>
            <w:div w:id="810094187">
              <w:marLeft w:val="0"/>
              <w:marRight w:val="0"/>
              <w:marTop w:val="0"/>
              <w:marBottom w:val="0"/>
              <w:divBdr>
                <w:top w:val="none" w:sz="0" w:space="0" w:color="auto"/>
                <w:left w:val="none" w:sz="0" w:space="0" w:color="auto"/>
                <w:bottom w:val="none" w:sz="0" w:space="0" w:color="auto"/>
                <w:right w:val="none" w:sz="0" w:space="0" w:color="auto"/>
              </w:divBdr>
              <w:divsChild>
                <w:div w:id="538906553">
                  <w:marLeft w:val="0"/>
                  <w:marRight w:val="0"/>
                  <w:marTop w:val="0"/>
                  <w:marBottom w:val="0"/>
                  <w:divBdr>
                    <w:top w:val="none" w:sz="0" w:space="0" w:color="auto"/>
                    <w:left w:val="none" w:sz="0" w:space="0" w:color="auto"/>
                    <w:bottom w:val="none" w:sz="0" w:space="0" w:color="auto"/>
                    <w:right w:val="none" w:sz="0" w:space="0" w:color="auto"/>
                  </w:divBdr>
                  <w:divsChild>
                    <w:div w:id="1176993699">
                      <w:marLeft w:val="0"/>
                      <w:marRight w:val="0"/>
                      <w:marTop w:val="0"/>
                      <w:marBottom w:val="0"/>
                      <w:divBdr>
                        <w:top w:val="none" w:sz="0" w:space="0" w:color="auto"/>
                        <w:left w:val="none" w:sz="0" w:space="0" w:color="auto"/>
                        <w:bottom w:val="none" w:sz="0" w:space="0" w:color="auto"/>
                        <w:right w:val="none" w:sz="0" w:space="0" w:color="auto"/>
                      </w:divBdr>
                    </w:div>
                    <w:div w:id="860827157">
                      <w:marLeft w:val="0"/>
                      <w:marRight w:val="0"/>
                      <w:marTop w:val="0"/>
                      <w:marBottom w:val="0"/>
                      <w:divBdr>
                        <w:top w:val="none" w:sz="0" w:space="0" w:color="auto"/>
                        <w:left w:val="none" w:sz="0" w:space="0" w:color="auto"/>
                        <w:bottom w:val="none" w:sz="0" w:space="0" w:color="auto"/>
                        <w:right w:val="none" w:sz="0" w:space="0" w:color="auto"/>
                      </w:divBdr>
                    </w:div>
                    <w:div w:id="1678730650">
                      <w:marLeft w:val="0"/>
                      <w:marRight w:val="0"/>
                      <w:marTop w:val="0"/>
                      <w:marBottom w:val="0"/>
                      <w:divBdr>
                        <w:top w:val="none" w:sz="0" w:space="0" w:color="auto"/>
                        <w:left w:val="none" w:sz="0" w:space="0" w:color="auto"/>
                        <w:bottom w:val="none" w:sz="0" w:space="0" w:color="auto"/>
                        <w:right w:val="none" w:sz="0" w:space="0" w:color="auto"/>
                      </w:divBdr>
                    </w:div>
                    <w:div w:id="1982731862">
                      <w:marLeft w:val="0"/>
                      <w:marRight w:val="0"/>
                      <w:marTop w:val="0"/>
                      <w:marBottom w:val="0"/>
                      <w:divBdr>
                        <w:top w:val="none" w:sz="0" w:space="0" w:color="auto"/>
                        <w:left w:val="none" w:sz="0" w:space="0" w:color="auto"/>
                        <w:bottom w:val="none" w:sz="0" w:space="0" w:color="auto"/>
                        <w:right w:val="none" w:sz="0" w:space="0" w:color="auto"/>
                      </w:divBdr>
                    </w:div>
                    <w:div w:id="177323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330668">
      <w:bodyDiv w:val="1"/>
      <w:marLeft w:val="0"/>
      <w:marRight w:val="0"/>
      <w:marTop w:val="0"/>
      <w:marBottom w:val="0"/>
      <w:divBdr>
        <w:top w:val="none" w:sz="0" w:space="0" w:color="auto"/>
        <w:left w:val="none" w:sz="0" w:space="0" w:color="auto"/>
        <w:bottom w:val="none" w:sz="0" w:space="0" w:color="auto"/>
        <w:right w:val="none" w:sz="0" w:space="0" w:color="auto"/>
      </w:divBdr>
      <w:divsChild>
        <w:div w:id="1189680110">
          <w:marLeft w:val="0"/>
          <w:marRight w:val="0"/>
          <w:marTop w:val="0"/>
          <w:marBottom w:val="0"/>
          <w:divBdr>
            <w:top w:val="none" w:sz="0" w:space="0" w:color="auto"/>
            <w:left w:val="none" w:sz="0" w:space="0" w:color="auto"/>
            <w:bottom w:val="none" w:sz="0" w:space="0" w:color="auto"/>
            <w:right w:val="none" w:sz="0" w:space="0" w:color="auto"/>
          </w:divBdr>
        </w:div>
        <w:div w:id="1574462846">
          <w:marLeft w:val="0"/>
          <w:marRight w:val="0"/>
          <w:marTop w:val="0"/>
          <w:marBottom w:val="0"/>
          <w:divBdr>
            <w:top w:val="none" w:sz="0" w:space="0" w:color="auto"/>
            <w:left w:val="none" w:sz="0" w:space="0" w:color="auto"/>
            <w:bottom w:val="none" w:sz="0" w:space="0" w:color="auto"/>
            <w:right w:val="none" w:sz="0" w:space="0" w:color="auto"/>
          </w:divBdr>
          <w:divsChild>
            <w:div w:id="245577706">
              <w:marLeft w:val="0"/>
              <w:marRight w:val="0"/>
              <w:marTop w:val="0"/>
              <w:marBottom w:val="0"/>
              <w:divBdr>
                <w:top w:val="none" w:sz="0" w:space="0" w:color="auto"/>
                <w:left w:val="none" w:sz="0" w:space="0" w:color="auto"/>
                <w:bottom w:val="none" w:sz="0" w:space="0" w:color="auto"/>
                <w:right w:val="none" w:sz="0" w:space="0" w:color="auto"/>
              </w:divBdr>
            </w:div>
            <w:div w:id="411436225">
              <w:marLeft w:val="0"/>
              <w:marRight w:val="0"/>
              <w:marTop w:val="0"/>
              <w:marBottom w:val="0"/>
              <w:divBdr>
                <w:top w:val="none" w:sz="0" w:space="0" w:color="auto"/>
                <w:left w:val="none" w:sz="0" w:space="0" w:color="auto"/>
                <w:bottom w:val="none" w:sz="0" w:space="0" w:color="auto"/>
                <w:right w:val="none" w:sz="0" w:space="0" w:color="auto"/>
              </w:divBdr>
            </w:div>
          </w:divsChild>
        </w:div>
        <w:div w:id="145702958">
          <w:marLeft w:val="0"/>
          <w:marRight w:val="0"/>
          <w:marTop w:val="0"/>
          <w:marBottom w:val="0"/>
          <w:divBdr>
            <w:top w:val="none" w:sz="0" w:space="0" w:color="auto"/>
            <w:left w:val="none" w:sz="0" w:space="0" w:color="auto"/>
            <w:bottom w:val="none" w:sz="0" w:space="0" w:color="auto"/>
            <w:right w:val="none" w:sz="0" w:space="0" w:color="auto"/>
          </w:divBdr>
          <w:divsChild>
            <w:div w:id="387463846">
              <w:marLeft w:val="0"/>
              <w:marRight w:val="0"/>
              <w:marTop w:val="0"/>
              <w:marBottom w:val="0"/>
              <w:divBdr>
                <w:top w:val="none" w:sz="0" w:space="0" w:color="auto"/>
                <w:left w:val="none" w:sz="0" w:space="0" w:color="auto"/>
                <w:bottom w:val="none" w:sz="0" w:space="0" w:color="auto"/>
                <w:right w:val="none" w:sz="0" w:space="0" w:color="auto"/>
              </w:divBdr>
              <w:divsChild>
                <w:div w:id="2077391229">
                  <w:marLeft w:val="0"/>
                  <w:marRight w:val="0"/>
                  <w:marTop w:val="0"/>
                  <w:marBottom w:val="0"/>
                  <w:divBdr>
                    <w:top w:val="none" w:sz="0" w:space="0" w:color="auto"/>
                    <w:left w:val="none" w:sz="0" w:space="0" w:color="auto"/>
                    <w:bottom w:val="none" w:sz="0" w:space="0" w:color="auto"/>
                    <w:right w:val="none" w:sz="0" w:space="0" w:color="auto"/>
                  </w:divBdr>
                  <w:divsChild>
                    <w:div w:id="1161501300">
                      <w:marLeft w:val="0"/>
                      <w:marRight w:val="0"/>
                      <w:marTop w:val="0"/>
                      <w:marBottom w:val="0"/>
                      <w:divBdr>
                        <w:top w:val="none" w:sz="0" w:space="0" w:color="auto"/>
                        <w:left w:val="none" w:sz="0" w:space="0" w:color="auto"/>
                        <w:bottom w:val="none" w:sz="0" w:space="0" w:color="auto"/>
                        <w:right w:val="none" w:sz="0" w:space="0" w:color="auto"/>
                      </w:divBdr>
                    </w:div>
                    <w:div w:id="1489325592">
                      <w:marLeft w:val="0"/>
                      <w:marRight w:val="0"/>
                      <w:marTop w:val="0"/>
                      <w:marBottom w:val="0"/>
                      <w:divBdr>
                        <w:top w:val="none" w:sz="0" w:space="0" w:color="auto"/>
                        <w:left w:val="none" w:sz="0" w:space="0" w:color="auto"/>
                        <w:bottom w:val="none" w:sz="0" w:space="0" w:color="auto"/>
                        <w:right w:val="none" w:sz="0" w:space="0" w:color="auto"/>
                      </w:divBdr>
                    </w:div>
                    <w:div w:id="273293654">
                      <w:marLeft w:val="0"/>
                      <w:marRight w:val="0"/>
                      <w:marTop w:val="0"/>
                      <w:marBottom w:val="0"/>
                      <w:divBdr>
                        <w:top w:val="none" w:sz="0" w:space="0" w:color="auto"/>
                        <w:left w:val="none" w:sz="0" w:space="0" w:color="auto"/>
                        <w:bottom w:val="none" w:sz="0" w:space="0" w:color="auto"/>
                        <w:right w:val="none" w:sz="0" w:space="0" w:color="auto"/>
                      </w:divBdr>
                    </w:div>
                  </w:divsChild>
                </w:div>
                <w:div w:id="1118332198">
                  <w:marLeft w:val="0"/>
                  <w:marRight w:val="0"/>
                  <w:marTop w:val="0"/>
                  <w:marBottom w:val="0"/>
                  <w:divBdr>
                    <w:top w:val="none" w:sz="0" w:space="0" w:color="auto"/>
                    <w:left w:val="none" w:sz="0" w:space="0" w:color="auto"/>
                    <w:bottom w:val="none" w:sz="0" w:space="0" w:color="auto"/>
                    <w:right w:val="none" w:sz="0" w:space="0" w:color="auto"/>
                  </w:divBdr>
                  <w:divsChild>
                    <w:div w:id="1505587818">
                      <w:marLeft w:val="0"/>
                      <w:marRight w:val="0"/>
                      <w:marTop w:val="0"/>
                      <w:marBottom w:val="0"/>
                      <w:divBdr>
                        <w:top w:val="none" w:sz="0" w:space="0" w:color="auto"/>
                        <w:left w:val="none" w:sz="0" w:space="0" w:color="auto"/>
                        <w:bottom w:val="none" w:sz="0" w:space="0" w:color="auto"/>
                        <w:right w:val="none" w:sz="0" w:space="0" w:color="auto"/>
                      </w:divBdr>
                    </w:div>
                    <w:div w:id="1707830041">
                      <w:marLeft w:val="0"/>
                      <w:marRight w:val="0"/>
                      <w:marTop w:val="0"/>
                      <w:marBottom w:val="0"/>
                      <w:divBdr>
                        <w:top w:val="none" w:sz="0" w:space="0" w:color="auto"/>
                        <w:left w:val="none" w:sz="0" w:space="0" w:color="auto"/>
                        <w:bottom w:val="none" w:sz="0" w:space="0" w:color="auto"/>
                        <w:right w:val="none" w:sz="0" w:space="0" w:color="auto"/>
                      </w:divBdr>
                    </w:div>
                    <w:div w:id="1331908298">
                      <w:marLeft w:val="0"/>
                      <w:marRight w:val="0"/>
                      <w:marTop w:val="0"/>
                      <w:marBottom w:val="0"/>
                      <w:divBdr>
                        <w:top w:val="none" w:sz="0" w:space="0" w:color="auto"/>
                        <w:left w:val="none" w:sz="0" w:space="0" w:color="auto"/>
                        <w:bottom w:val="none" w:sz="0" w:space="0" w:color="auto"/>
                        <w:right w:val="none" w:sz="0" w:space="0" w:color="auto"/>
                      </w:divBdr>
                    </w:div>
                  </w:divsChild>
                </w:div>
                <w:div w:id="1810053101">
                  <w:marLeft w:val="0"/>
                  <w:marRight w:val="0"/>
                  <w:marTop w:val="0"/>
                  <w:marBottom w:val="0"/>
                  <w:divBdr>
                    <w:top w:val="none" w:sz="0" w:space="0" w:color="auto"/>
                    <w:left w:val="none" w:sz="0" w:space="0" w:color="auto"/>
                    <w:bottom w:val="none" w:sz="0" w:space="0" w:color="auto"/>
                    <w:right w:val="none" w:sz="0" w:space="0" w:color="auto"/>
                  </w:divBdr>
                  <w:divsChild>
                    <w:div w:id="299191920">
                      <w:marLeft w:val="0"/>
                      <w:marRight w:val="0"/>
                      <w:marTop w:val="0"/>
                      <w:marBottom w:val="0"/>
                      <w:divBdr>
                        <w:top w:val="none" w:sz="0" w:space="0" w:color="auto"/>
                        <w:left w:val="none" w:sz="0" w:space="0" w:color="auto"/>
                        <w:bottom w:val="none" w:sz="0" w:space="0" w:color="auto"/>
                        <w:right w:val="none" w:sz="0" w:space="0" w:color="auto"/>
                      </w:divBdr>
                    </w:div>
                    <w:div w:id="1311444800">
                      <w:marLeft w:val="0"/>
                      <w:marRight w:val="0"/>
                      <w:marTop w:val="0"/>
                      <w:marBottom w:val="0"/>
                      <w:divBdr>
                        <w:top w:val="none" w:sz="0" w:space="0" w:color="auto"/>
                        <w:left w:val="none" w:sz="0" w:space="0" w:color="auto"/>
                        <w:bottom w:val="none" w:sz="0" w:space="0" w:color="auto"/>
                        <w:right w:val="none" w:sz="0" w:space="0" w:color="auto"/>
                      </w:divBdr>
                    </w:div>
                    <w:div w:id="160391985">
                      <w:marLeft w:val="0"/>
                      <w:marRight w:val="0"/>
                      <w:marTop w:val="0"/>
                      <w:marBottom w:val="0"/>
                      <w:divBdr>
                        <w:top w:val="none" w:sz="0" w:space="0" w:color="auto"/>
                        <w:left w:val="none" w:sz="0" w:space="0" w:color="auto"/>
                        <w:bottom w:val="none" w:sz="0" w:space="0" w:color="auto"/>
                        <w:right w:val="none" w:sz="0" w:space="0" w:color="auto"/>
                      </w:divBdr>
                    </w:div>
                  </w:divsChild>
                </w:div>
                <w:div w:id="1787312256">
                  <w:marLeft w:val="0"/>
                  <w:marRight w:val="0"/>
                  <w:marTop w:val="0"/>
                  <w:marBottom w:val="0"/>
                  <w:divBdr>
                    <w:top w:val="none" w:sz="0" w:space="0" w:color="auto"/>
                    <w:left w:val="none" w:sz="0" w:space="0" w:color="auto"/>
                    <w:bottom w:val="none" w:sz="0" w:space="0" w:color="auto"/>
                    <w:right w:val="none" w:sz="0" w:space="0" w:color="auto"/>
                  </w:divBdr>
                  <w:divsChild>
                    <w:div w:id="381641015">
                      <w:marLeft w:val="0"/>
                      <w:marRight w:val="0"/>
                      <w:marTop w:val="0"/>
                      <w:marBottom w:val="0"/>
                      <w:divBdr>
                        <w:top w:val="none" w:sz="0" w:space="0" w:color="auto"/>
                        <w:left w:val="none" w:sz="0" w:space="0" w:color="auto"/>
                        <w:bottom w:val="none" w:sz="0" w:space="0" w:color="auto"/>
                        <w:right w:val="none" w:sz="0" w:space="0" w:color="auto"/>
                      </w:divBdr>
                    </w:div>
                    <w:div w:id="286085056">
                      <w:marLeft w:val="0"/>
                      <w:marRight w:val="0"/>
                      <w:marTop w:val="0"/>
                      <w:marBottom w:val="0"/>
                      <w:divBdr>
                        <w:top w:val="none" w:sz="0" w:space="0" w:color="auto"/>
                        <w:left w:val="none" w:sz="0" w:space="0" w:color="auto"/>
                        <w:bottom w:val="none" w:sz="0" w:space="0" w:color="auto"/>
                        <w:right w:val="none" w:sz="0" w:space="0" w:color="auto"/>
                      </w:divBdr>
                    </w:div>
                    <w:div w:id="21196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035303">
      <w:bodyDiv w:val="1"/>
      <w:marLeft w:val="0"/>
      <w:marRight w:val="0"/>
      <w:marTop w:val="0"/>
      <w:marBottom w:val="0"/>
      <w:divBdr>
        <w:top w:val="none" w:sz="0" w:space="0" w:color="auto"/>
        <w:left w:val="none" w:sz="0" w:space="0" w:color="auto"/>
        <w:bottom w:val="none" w:sz="0" w:space="0" w:color="auto"/>
        <w:right w:val="none" w:sz="0" w:space="0" w:color="auto"/>
      </w:divBdr>
    </w:div>
    <w:div w:id="1398431462">
      <w:bodyDiv w:val="1"/>
      <w:marLeft w:val="0"/>
      <w:marRight w:val="0"/>
      <w:marTop w:val="0"/>
      <w:marBottom w:val="0"/>
      <w:divBdr>
        <w:top w:val="none" w:sz="0" w:space="0" w:color="auto"/>
        <w:left w:val="none" w:sz="0" w:space="0" w:color="auto"/>
        <w:bottom w:val="none" w:sz="0" w:space="0" w:color="auto"/>
        <w:right w:val="none" w:sz="0" w:space="0" w:color="auto"/>
      </w:divBdr>
    </w:div>
    <w:div w:id="1488470808">
      <w:bodyDiv w:val="1"/>
      <w:marLeft w:val="0"/>
      <w:marRight w:val="0"/>
      <w:marTop w:val="0"/>
      <w:marBottom w:val="0"/>
      <w:divBdr>
        <w:top w:val="none" w:sz="0" w:space="0" w:color="auto"/>
        <w:left w:val="none" w:sz="0" w:space="0" w:color="auto"/>
        <w:bottom w:val="none" w:sz="0" w:space="0" w:color="auto"/>
        <w:right w:val="none" w:sz="0" w:space="0" w:color="auto"/>
      </w:divBdr>
    </w:div>
    <w:div w:id="1545367634">
      <w:bodyDiv w:val="1"/>
      <w:marLeft w:val="0"/>
      <w:marRight w:val="0"/>
      <w:marTop w:val="0"/>
      <w:marBottom w:val="0"/>
      <w:divBdr>
        <w:top w:val="none" w:sz="0" w:space="0" w:color="auto"/>
        <w:left w:val="none" w:sz="0" w:space="0" w:color="auto"/>
        <w:bottom w:val="none" w:sz="0" w:space="0" w:color="auto"/>
        <w:right w:val="none" w:sz="0" w:space="0" w:color="auto"/>
      </w:divBdr>
      <w:divsChild>
        <w:div w:id="468283647">
          <w:marLeft w:val="0"/>
          <w:marRight w:val="0"/>
          <w:marTop w:val="0"/>
          <w:marBottom w:val="0"/>
          <w:divBdr>
            <w:top w:val="none" w:sz="0" w:space="0" w:color="auto"/>
            <w:left w:val="none" w:sz="0" w:space="0" w:color="auto"/>
            <w:bottom w:val="none" w:sz="0" w:space="0" w:color="auto"/>
            <w:right w:val="none" w:sz="0" w:space="0" w:color="auto"/>
          </w:divBdr>
        </w:div>
        <w:div w:id="124009249">
          <w:marLeft w:val="0"/>
          <w:marRight w:val="0"/>
          <w:marTop w:val="0"/>
          <w:marBottom w:val="0"/>
          <w:divBdr>
            <w:top w:val="none" w:sz="0" w:space="0" w:color="auto"/>
            <w:left w:val="none" w:sz="0" w:space="0" w:color="auto"/>
            <w:bottom w:val="none" w:sz="0" w:space="0" w:color="auto"/>
            <w:right w:val="none" w:sz="0" w:space="0" w:color="auto"/>
          </w:divBdr>
        </w:div>
        <w:div w:id="2022849501">
          <w:marLeft w:val="0"/>
          <w:marRight w:val="0"/>
          <w:marTop w:val="0"/>
          <w:marBottom w:val="0"/>
          <w:divBdr>
            <w:top w:val="none" w:sz="0" w:space="0" w:color="auto"/>
            <w:left w:val="none" w:sz="0" w:space="0" w:color="auto"/>
            <w:bottom w:val="none" w:sz="0" w:space="0" w:color="auto"/>
            <w:right w:val="none" w:sz="0" w:space="0" w:color="auto"/>
          </w:divBdr>
          <w:divsChild>
            <w:div w:id="1949971833">
              <w:marLeft w:val="0"/>
              <w:marRight w:val="0"/>
              <w:marTop w:val="0"/>
              <w:marBottom w:val="0"/>
              <w:divBdr>
                <w:top w:val="none" w:sz="0" w:space="0" w:color="auto"/>
                <w:left w:val="none" w:sz="0" w:space="0" w:color="auto"/>
                <w:bottom w:val="none" w:sz="0" w:space="0" w:color="auto"/>
                <w:right w:val="none" w:sz="0" w:space="0" w:color="auto"/>
              </w:divBdr>
            </w:div>
          </w:divsChild>
        </w:div>
        <w:div w:id="1974022186">
          <w:marLeft w:val="0"/>
          <w:marRight w:val="0"/>
          <w:marTop w:val="0"/>
          <w:marBottom w:val="0"/>
          <w:divBdr>
            <w:top w:val="none" w:sz="0" w:space="0" w:color="auto"/>
            <w:left w:val="none" w:sz="0" w:space="0" w:color="auto"/>
            <w:bottom w:val="none" w:sz="0" w:space="0" w:color="auto"/>
            <w:right w:val="none" w:sz="0" w:space="0" w:color="auto"/>
          </w:divBdr>
          <w:divsChild>
            <w:div w:id="1361202234">
              <w:marLeft w:val="0"/>
              <w:marRight w:val="0"/>
              <w:marTop w:val="0"/>
              <w:marBottom w:val="0"/>
              <w:divBdr>
                <w:top w:val="none" w:sz="0" w:space="0" w:color="auto"/>
                <w:left w:val="none" w:sz="0" w:space="0" w:color="auto"/>
                <w:bottom w:val="none" w:sz="0" w:space="0" w:color="auto"/>
                <w:right w:val="none" w:sz="0" w:space="0" w:color="auto"/>
              </w:divBdr>
              <w:divsChild>
                <w:div w:id="792595806">
                  <w:marLeft w:val="0"/>
                  <w:marRight w:val="0"/>
                  <w:marTop w:val="0"/>
                  <w:marBottom w:val="0"/>
                  <w:divBdr>
                    <w:top w:val="none" w:sz="0" w:space="0" w:color="auto"/>
                    <w:left w:val="none" w:sz="0" w:space="0" w:color="auto"/>
                    <w:bottom w:val="none" w:sz="0" w:space="0" w:color="auto"/>
                    <w:right w:val="none" w:sz="0" w:space="0" w:color="auto"/>
                  </w:divBdr>
                  <w:divsChild>
                    <w:div w:id="939869202">
                      <w:marLeft w:val="0"/>
                      <w:marRight w:val="0"/>
                      <w:marTop w:val="0"/>
                      <w:marBottom w:val="0"/>
                      <w:divBdr>
                        <w:top w:val="none" w:sz="0" w:space="0" w:color="auto"/>
                        <w:left w:val="none" w:sz="0" w:space="0" w:color="auto"/>
                        <w:bottom w:val="none" w:sz="0" w:space="0" w:color="auto"/>
                        <w:right w:val="none" w:sz="0" w:space="0" w:color="auto"/>
                      </w:divBdr>
                    </w:div>
                    <w:div w:id="327636462">
                      <w:marLeft w:val="0"/>
                      <w:marRight w:val="0"/>
                      <w:marTop w:val="0"/>
                      <w:marBottom w:val="0"/>
                      <w:divBdr>
                        <w:top w:val="none" w:sz="0" w:space="0" w:color="auto"/>
                        <w:left w:val="none" w:sz="0" w:space="0" w:color="auto"/>
                        <w:bottom w:val="none" w:sz="0" w:space="0" w:color="auto"/>
                        <w:right w:val="none" w:sz="0" w:space="0" w:color="auto"/>
                      </w:divBdr>
                    </w:div>
                    <w:div w:id="630015569">
                      <w:marLeft w:val="0"/>
                      <w:marRight w:val="0"/>
                      <w:marTop w:val="0"/>
                      <w:marBottom w:val="0"/>
                      <w:divBdr>
                        <w:top w:val="none" w:sz="0" w:space="0" w:color="auto"/>
                        <w:left w:val="none" w:sz="0" w:space="0" w:color="auto"/>
                        <w:bottom w:val="none" w:sz="0" w:space="0" w:color="auto"/>
                        <w:right w:val="none" w:sz="0" w:space="0" w:color="auto"/>
                      </w:divBdr>
                    </w:div>
                    <w:div w:id="798301862">
                      <w:marLeft w:val="0"/>
                      <w:marRight w:val="0"/>
                      <w:marTop w:val="0"/>
                      <w:marBottom w:val="0"/>
                      <w:divBdr>
                        <w:top w:val="none" w:sz="0" w:space="0" w:color="auto"/>
                        <w:left w:val="none" w:sz="0" w:space="0" w:color="auto"/>
                        <w:bottom w:val="none" w:sz="0" w:space="0" w:color="auto"/>
                        <w:right w:val="none" w:sz="0" w:space="0" w:color="auto"/>
                      </w:divBdr>
                    </w:div>
                    <w:div w:id="157909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696746">
      <w:bodyDiv w:val="1"/>
      <w:marLeft w:val="0"/>
      <w:marRight w:val="0"/>
      <w:marTop w:val="0"/>
      <w:marBottom w:val="0"/>
      <w:divBdr>
        <w:top w:val="none" w:sz="0" w:space="0" w:color="auto"/>
        <w:left w:val="none" w:sz="0" w:space="0" w:color="auto"/>
        <w:bottom w:val="none" w:sz="0" w:space="0" w:color="auto"/>
        <w:right w:val="none" w:sz="0" w:space="0" w:color="auto"/>
      </w:divBdr>
      <w:divsChild>
        <w:div w:id="1225333087">
          <w:marLeft w:val="0"/>
          <w:marRight w:val="0"/>
          <w:marTop w:val="0"/>
          <w:marBottom w:val="0"/>
          <w:divBdr>
            <w:top w:val="none" w:sz="0" w:space="0" w:color="auto"/>
            <w:left w:val="none" w:sz="0" w:space="0" w:color="auto"/>
            <w:bottom w:val="none" w:sz="0" w:space="0" w:color="auto"/>
            <w:right w:val="none" w:sz="0" w:space="0" w:color="auto"/>
          </w:divBdr>
        </w:div>
        <w:div w:id="1483888513">
          <w:marLeft w:val="0"/>
          <w:marRight w:val="0"/>
          <w:marTop w:val="0"/>
          <w:marBottom w:val="0"/>
          <w:divBdr>
            <w:top w:val="none" w:sz="0" w:space="0" w:color="auto"/>
            <w:left w:val="none" w:sz="0" w:space="0" w:color="auto"/>
            <w:bottom w:val="none" w:sz="0" w:space="0" w:color="auto"/>
            <w:right w:val="none" w:sz="0" w:space="0" w:color="auto"/>
          </w:divBdr>
        </w:div>
        <w:div w:id="621886315">
          <w:marLeft w:val="0"/>
          <w:marRight w:val="0"/>
          <w:marTop w:val="0"/>
          <w:marBottom w:val="0"/>
          <w:divBdr>
            <w:top w:val="none" w:sz="0" w:space="0" w:color="auto"/>
            <w:left w:val="none" w:sz="0" w:space="0" w:color="auto"/>
            <w:bottom w:val="none" w:sz="0" w:space="0" w:color="auto"/>
            <w:right w:val="none" w:sz="0" w:space="0" w:color="auto"/>
          </w:divBdr>
          <w:divsChild>
            <w:div w:id="503204390">
              <w:marLeft w:val="0"/>
              <w:marRight w:val="0"/>
              <w:marTop w:val="0"/>
              <w:marBottom w:val="0"/>
              <w:divBdr>
                <w:top w:val="none" w:sz="0" w:space="0" w:color="auto"/>
                <w:left w:val="none" w:sz="0" w:space="0" w:color="auto"/>
                <w:bottom w:val="none" w:sz="0" w:space="0" w:color="auto"/>
                <w:right w:val="none" w:sz="0" w:space="0" w:color="auto"/>
              </w:divBdr>
            </w:div>
          </w:divsChild>
        </w:div>
        <w:div w:id="2133816724">
          <w:marLeft w:val="0"/>
          <w:marRight w:val="0"/>
          <w:marTop w:val="0"/>
          <w:marBottom w:val="0"/>
          <w:divBdr>
            <w:top w:val="none" w:sz="0" w:space="0" w:color="auto"/>
            <w:left w:val="none" w:sz="0" w:space="0" w:color="auto"/>
            <w:bottom w:val="none" w:sz="0" w:space="0" w:color="auto"/>
            <w:right w:val="none" w:sz="0" w:space="0" w:color="auto"/>
          </w:divBdr>
          <w:divsChild>
            <w:div w:id="1645937621">
              <w:marLeft w:val="0"/>
              <w:marRight w:val="0"/>
              <w:marTop w:val="0"/>
              <w:marBottom w:val="0"/>
              <w:divBdr>
                <w:top w:val="none" w:sz="0" w:space="0" w:color="auto"/>
                <w:left w:val="none" w:sz="0" w:space="0" w:color="auto"/>
                <w:bottom w:val="none" w:sz="0" w:space="0" w:color="auto"/>
                <w:right w:val="none" w:sz="0" w:space="0" w:color="auto"/>
              </w:divBdr>
              <w:divsChild>
                <w:div w:id="718866795">
                  <w:marLeft w:val="0"/>
                  <w:marRight w:val="0"/>
                  <w:marTop w:val="0"/>
                  <w:marBottom w:val="0"/>
                  <w:divBdr>
                    <w:top w:val="none" w:sz="0" w:space="0" w:color="auto"/>
                    <w:left w:val="none" w:sz="0" w:space="0" w:color="auto"/>
                    <w:bottom w:val="none" w:sz="0" w:space="0" w:color="auto"/>
                    <w:right w:val="none" w:sz="0" w:space="0" w:color="auto"/>
                  </w:divBdr>
                  <w:divsChild>
                    <w:div w:id="316692459">
                      <w:marLeft w:val="0"/>
                      <w:marRight w:val="0"/>
                      <w:marTop w:val="0"/>
                      <w:marBottom w:val="0"/>
                      <w:divBdr>
                        <w:top w:val="none" w:sz="0" w:space="0" w:color="auto"/>
                        <w:left w:val="none" w:sz="0" w:space="0" w:color="auto"/>
                        <w:bottom w:val="none" w:sz="0" w:space="0" w:color="auto"/>
                        <w:right w:val="none" w:sz="0" w:space="0" w:color="auto"/>
                      </w:divBdr>
                    </w:div>
                    <w:div w:id="1959944547">
                      <w:marLeft w:val="0"/>
                      <w:marRight w:val="0"/>
                      <w:marTop w:val="0"/>
                      <w:marBottom w:val="0"/>
                      <w:divBdr>
                        <w:top w:val="none" w:sz="0" w:space="0" w:color="auto"/>
                        <w:left w:val="none" w:sz="0" w:space="0" w:color="auto"/>
                        <w:bottom w:val="none" w:sz="0" w:space="0" w:color="auto"/>
                        <w:right w:val="none" w:sz="0" w:space="0" w:color="auto"/>
                      </w:divBdr>
                    </w:div>
                    <w:div w:id="650403415">
                      <w:marLeft w:val="0"/>
                      <w:marRight w:val="0"/>
                      <w:marTop w:val="0"/>
                      <w:marBottom w:val="0"/>
                      <w:divBdr>
                        <w:top w:val="none" w:sz="0" w:space="0" w:color="auto"/>
                        <w:left w:val="none" w:sz="0" w:space="0" w:color="auto"/>
                        <w:bottom w:val="none" w:sz="0" w:space="0" w:color="auto"/>
                        <w:right w:val="none" w:sz="0" w:space="0" w:color="auto"/>
                      </w:divBdr>
                    </w:div>
                    <w:div w:id="1134375851">
                      <w:marLeft w:val="0"/>
                      <w:marRight w:val="0"/>
                      <w:marTop w:val="0"/>
                      <w:marBottom w:val="0"/>
                      <w:divBdr>
                        <w:top w:val="none" w:sz="0" w:space="0" w:color="auto"/>
                        <w:left w:val="none" w:sz="0" w:space="0" w:color="auto"/>
                        <w:bottom w:val="none" w:sz="0" w:space="0" w:color="auto"/>
                        <w:right w:val="none" w:sz="0" w:space="0" w:color="auto"/>
                      </w:divBdr>
                    </w:div>
                    <w:div w:id="75413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495613">
      <w:bodyDiv w:val="1"/>
      <w:marLeft w:val="0"/>
      <w:marRight w:val="0"/>
      <w:marTop w:val="0"/>
      <w:marBottom w:val="0"/>
      <w:divBdr>
        <w:top w:val="none" w:sz="0" w:space="0" w:color="auto"/>
        <w:left w:val="none" w:sz="0" w:space="0" w:color="auto"/>
        <w:bottom w:val="none" w:sz="0" w:space="0" w:color="auto"/>
        <w:right w:val="none" w:sz="0" w:space="0" w:color="auto"/>
      </w:divBdr>
      <w:divsChild>
        <w:div w:id="979188132">
          <w:marLeft w:val="0"/>
          <w:marRight w:val="0"/>
          <w:marTop w:val="0"/>
          <w:marBottom w:val="0"/>
          <w:divBdr>
            <w:top w:val="none" w:sz="0" w:space="0" w:color="auto"/>
            <w:left w:val="none" w:sz="0" w:space="0" w:color="auto"/>
            <w:bottom w:val="none" w:sz="0" w:space="0" w:color="auto"/>
            <w:right w:val="none" w:sz="0" w:space="0" w:color="auto"/>
          </w:divBdr>
        </w:div>
        <w:div w:id="1537044173">
          <w:marLeft w:val="0"/>
          <w:marRight w:val="0"/>
          <w:marTop w:val="0"/>
          <w:marBottom w:val="0"/>
          <w:divBdr>
            <w:top w:val="none" w:sz="0" w:space="0" w:color="auto"/>
            <w:left w:val="none" w:sz="0" w:space="0" w:color="auto"/>
            <w:bottom w:val="none" w:sz="0" w:space="0" w:color="auto"/>
            <w:right w:val="none" w:sz="0" w:space="0" w:color="auto"/>
          </w:divBdr>
        </w:div>
        <w:div w:id="9648437">
          <w:marLeft w:val="0"/>
          <w:marRight w:val="0"/>
          <w:marTop w:val="0"/>
          <w:marBottom w:val="0"/>
          <w:divBdr>
            <w:top w:val="none" w:sz="0" w:space="0" w:color="auto"/>
            <w:left w:val="none" w:sz="0" w:space="0" w:color="auto"/>
            <w:bottom w:val="none" w:sz="0" w:space="0" w:color="auto"/>
            <w:right w:val="none" w:sz="0" w:space="0" w:color="auto"/>
          </w:divBdr>
          <w:divsChild>
            <w:div w:id="1766725880">
              <w:marLeft w:val="0"/>
              <w:marRight w:val="0"/>
              <w:marTop w:val="0"/>
              <w:marBottom w:val="0"/>
              <w:divBdr>
                <w:top w:val="none" w:sz="0" w:space="0" w:color="auto"/>
                <w:left w:val="none" w:sz="0" w:space="0" w:color="auto"/>
                <w:bottom w:val="none" w:sz="0" w:space="0" w:color="auto"/>
                <w:right w:val="none" w:sz="0" w:space="0" w:color="auto"/>
              </w:divBdr>
            </w:div>
          </w:divsChild>
        </w:div>
        <w:div w:id="1721398543">
          <w:marLeft w:val="0"/>
          <w:marRight w:val="0"/>
          <w:marTop w:val="0"/>
          <w:marBottom w:val="0"/>
          <w:divBdr>
            <w:top w:val="none" w:sz="0" w:space="0" w:color="auto"/>
            <w:left w:val="none" w:sz="0" w:space="0" w:color="auto"/>
            <w:bottom w:val="none" w:sz="0" w:space="0" w:color="auto"/>
            <w:right w:val="none" w:sz="0" w:space="0" w:color="auto"/>
          </w:divBdr>
          <w:divsChild>
            <w:div w:id="432365717">
              <w:marLeft w:val="0"/>
              <w:marRight w:val="0"/>
              <w:marTop w:val="0"/>
              <w:marBottom w:val="0"/>
              <w:divBdr>
                <w:top w:val="none" w:sz="0" w:space="0" w:color="auto"/>
                <w:left w:val="none" w:sz="0" w:space="0" w:color="auto"/>
                <w:bottom w:val="none" w:sz="0" w:space="0" w:color="auto"/>
                <w:right w:val="none" w:sz="0" w:space="0" w:color="auto"/>
              </w:divBdr>
              <w:divsChild>
                <w:div w:id="1914385262">
                  <w:marLeft w:val="0"/>
                  <w:marRight w:val="0"/>
                  <w:marTop w:val="0"/>
                  <w:marBottom w:val="0"/>
                  <w:divBdr>
                    <w:top w:val="none" w:sz="0" w:space="0" w:color="auto"/>
                    <w:left w:val="none" w:sz="0" w:space="0" w:color="auto"/>
                    <w:bottom w:val="none" w:sz="0" w:space="0" w:color="auto"/>
                    <w:right w:val="none" w:sz="0" w:space="0" w:color="auto"/>
                  </w:divBdr>
                  <w:divsChild>
                    <w:div w:id="1282347159">
                      <w:marLeft w:val="0"/>
                      <w:marRight w:val="0"/>
                      <w:marTop w:val="0"/>
                      <w:marBottom w:val="0"/>
                      <w:divBdr>
                        <w:top w:val="none" w:sz="0" w:space="0" w:color="auto"/>
                        <w:left w:val="none" w:sz="0" w:space="0" w:color="auto"/>
                        <w:bottom w:val="none" w:sz="0" w:space="0" w:color="auto"/>
                        <w:right w:val="none" w:sz="0" w:space="0" w:color="auto"/>
                      </w:divBdr>
                    </w:div>
                    <w:div w:id="2146308621">
                      <w:marLeft w:val="0"/>
                      <w:marRight w:val="0"/>
                      <w:marTop w:val="0"/>
                      <w:marBottom w:val="0"/>
                      <w:divBdr>
                        <w:top w:val="none" w:sz="0" w:space="0" w:color="auto"/>
                        <w:left w:val="none" w:sz="0" w:space="0" w:color="auto"/>
                        <w:bottom w:val="none" w:sz="0" w:space="0" w:color="auto"/>
                        <w:right w:val="none" w:sz="0" w:space="0" w:color="auto"/>
                      </w:divBdr>
                    </w:div>
                    <w:div w:id="170801507">
                      <w:marLeft w:val="0"/>
                      <w:marRight w:val="0"/>
                      <w:marTop w:val="0"/>
                      <w:marBottom w:val="0"/>
                      <w:divBdr>
                        <w:top w:val="none" w:sz="0" w:space="0" w:color="auto"/>
                        <w:left w:val="none" w:sz="0" w:space="0" w:color="auto"/>
                        <w:bottom w:val="none" w:sz="0" w:space="0" w:color="auto"/>
                        <w:right w:val="none" w:sz="0" w:space="0" w:color="auto"/>
                      </w:divBdr>
                    </w:div>
                    <w:div w:id="324823176">
                      <w:marLeft w:val="0"/>
                      <w:marRight w:val="0"/>
                      <w:marTop w:val="0"/>
                      <w:marBottom w:val="0"/>
                      <w:divBdr>
                        <w:top w:val="none" w:sz="0" w:space="0" w:color="auto"/>
                        <w:left w:val="none" w:sz="0" w:space="0" w:color="auto"/>
                        <w:bottom w:val="none" w:sz="0" w:space="0" w:color="auto"/>
                        <w:right w:val="none" w:sz="0" w:space="0" w:color="auto"/>
                      </w:divBdr>
                    </w:div>
                    <w:div w:id="109000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368724">
      <w:bodyDiv w:val="1"/>
      <w:marLeft w:val="0"/>
      <w:marRight w:val="0"/>
      <w:marTop w:val="0"/>
      <w:marBottom w:val="0"/>
      <w:divBdr>
        <w:top w:val="none" w:sz="0" w:space="0" w:color="auto"/>
        <w:left w:val="none" w:sz="0" w:space="0" w:color="auto"/>
        <w:bottom w:val="none" w:sz="0" w:space="0" w:color="auto"/>
        <w:right w:val="none" w:sz="0" w:space="0" w:color="auto"/>
      </w:divBdr>
      <w:divsChild>
        <w:div w:id="1877883695">
          <w:marLeft w:val="0"/>
          <w:marRight w:val="0"/>
          <w:marTop w:val="0"/>
          <w:marBottom w:val="0"/>
          <w:divBdr>
            <w:top w:val="none" w:sz="0" w:space="0" w:color="auto"/>
            <w:left w:val="none" w:sz="0" w:space="0" w:color="auto"/>
            <w:bottom w:val="none" w:sz="0" w:space="0" w:color="auto"/>
            <w:right w:val="none" w:sz="0" w:space="0" w:color="auto"/>
          </w:divBdr>
        </w:div>
        <w:div w:id="544609984">
          <w:marLeft w:val="0"/>
          <w:marRight w:val="0"/>
          <w:marTop w:val="0"/>
          <w:marBottom w:val="0"/>
          <w:divBdr>
            <w:top w:val="none" w:sz="0" w:space="0" w:color="auto"/>
            <w:left w:val="none" w:sz="0" w:space="0" w:color="auto"/>
            <w:bottom w:val="none" w:sz="0" w:space="0" w:color="auto"/>
            <w:right w:val="none" w:sz="0" w:space="0" w:color="auto"/>
          </w:divBdr>
        </w:div>
        <w:div w:id="82725140">
          <w:marLeft w:val="0"/>
          <w:marRight w:val="0"/>
          <w:marTop w:val="0"/>
          <w:marBottom w:val="0"/>
          <w:divBdr>
            <w:top w:val="none" w:sz="0" w:space="0" w:color="auto"/>
            <w:left w:val="none" w:sz="0" w:space="0" w:color="auto"/>
            <w:bottom w:val="none" w:sz="0" w:space="0" w:color="auto"/>
            <w:right w:val="none" w:sz="0" w:space="0" w:color="auto"/>
          </w:divBdr>
          <w:divsChild>
            <w:div w:id="1112626702">
              <w:marLeft w:val="0"/>
              <w:marRight w:val="0"/>
              <w:marTop w:val="0"/>
              <w:marBottom w:val="0"/>
              <w:divBdr>
                <w:top w:val="none" w:sz="0" w:space="0" w:color="auto"/>
                <w:left w:val="none" w:sz="0" w:space="0" w:color="auto"/>
                <w:bottom w:val="none" w:sz="0" w:space="0" w:color="auto"/>
                <w:right w:val="none" w:sz="0" w:space="0" w:color="auto"/>
              </w:divBdr>
            </w:div>
          </w:divsChild>
        </w:div>
        <w:div w:id="2026904314">
          <w:marLeft w:val="0"/>
          <w:marRight w:val="0"/>
          <w:marTop w:val="0"/>
          <w:marBottom w:val="0"/>
          <w:divBdr>
            <w:top w:val="none" w:sz="0" w:space="0" w:color="auto"/>
            <w:left w:val="none" w:sz="0" w:space="0" w:color="auto"/>
            <w:bottom w:val="none" w:sz="0" w:space="0" w:color="auto"/>
            <w:right w:val="none" w:sz="0" w:space="0" w:color="auto"/>
          </w:divBdr>
          <w:divsChild>
            <w:div w:id="863253310">
              <w:marLeft w:val="0"/>
              <w:marRight w:val="0"/>
              <w:marTop w:val="0"/>
              <w:marBottom w:val="0"/>
              <w:divBdr>
                <w:top w:val="none" w:sz="0" w:space="0" w:color="auto"/>
                <w:left w:val="none" w:sz="0" w:space="0" w:color="auto"/>
                <w:bottom w:val="none" w:sz="0" w:space="0" w:color="auto"/>
                <w:right w:val="none" w:sz="0" w:space="0" w:color="auto"/>
              </w:divBdr>
              <w:divsChild>
                <w:div w:id="2130391755">
                  <w:marLeft w:val="0"/>
                  <w:marRight w:val="0"/>
                  <w:marTop w:val="0"/>
                  <w:marBottom w:val="0"/>
                  <w:divBdr>
                    <w:top w:val="none" w:sz="0" w:space="0" w:color="auto"/>
                    <w:left w:val="none" w:sz="0" w:space="0" w:color="auto"/>
                    <w:bottom w:val="none" w:sz="0" w:space="0" w:color="auto"/>
                    <w:right w:val="none" w:sz="0" w:space="0" w:color="auto"/>
                  </w:divBdr>
                  <w:divsChild>
                    <w:div w:id="621306130">
                      <w:marLeft w:val="0"/>
                      <w:marRight w:val="0"/>
                      <w:marTop w:val="0"/>
                      <w:marBottom w:val="0"/>
                      <w:divBdr>
                        <w:top w:val="none" w:sz="0" w:space="0" w:color="auto"/>
                        <w:left w:val="none" w:sz="0" w:space="0" w:color="auto"/>
                        <w:bottom w:val="none" w:sz="0" w:space="0" w:color="auto"/>
                        <w:right w:val="none" w:sz="0" w:space="0" w:color="auto"/>
                      </w:divBdr>
                    </w:div>
                    <w:div w:id="626159480">
                      <w:marLeft w:val="0"/>
                      <w:marRight w:val="0"/>
                      <w:marTop w:val="0"/>
                      <w:marBottom w:val="0"/>
                      <w:divBdr>
                        <w:top w:val="none" w:sz="0" w:space="0" w:color="auto"/>
                        <w:left w:val="none" w:sz="0" w:space="0" w:color="auto"/>
                        <w:bottom w:val="none" w:sz="0" w:space="0" w:color="auto"/>
                        <w:right w:val="none" w:sz="0" w:space="0" w:color="auto"/>
                      </w:divBdr>
                    </w:div>
                    <w:div w:id="1755515616">
                      <w:marLeft w:val="0"/>
                      <w:marRight w:val="0"/>
                      <w:marTop w:val="0"/>
                      <w:marBottom w:val="0"/>
                      <w:divBdr>
                        <w:top w:val="none" w:sz="0" w:space="0" w:color="auto"/>
                        <w:left w:val="none" w:sz="0" w:space="0" w:color="auto"/>
                        <w:bottom w:val="none" w:sz="0" w:space="0" w:color="auto"/>
                        <w:right w:val="none" w:sz="0" w:space="0" w:color="auto"/>
                      </w:divBdr>
                    </w:div>
                    <w:div w:id="1015233498">
                      <w:marLeft w:val="0"/>
                      <w:marRight w:val="0"/>
                      <w:marTop w:val="0"/>
                      <w:marBottom w:val="0"/>
                      <w:divBdr>
                        <w:top w:val="none" w:sz="0" w:space="0" w:color="auto"/>
                        <w:left w:val="none" w:sz="0" w:space="0" w:color="auto"/>
                        <w:bottom w:val="none" w:sz="0" w:space="0" w:color="auto"/>
                        <w:right w:val="none" w:sz="0" w:space="0" w:color="auto"/>
                      </w:divBdr>
                    </w:div>
                    <w:div w:id="95656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rawdown.org/solutions/regenerative-annual-cropping" TargetMode="External"/><Relationship Id="rId13" Type="http://schemas.openxmlformats.org/officeDocument/2006/relationships/image" Target="media/image2.png"/><Relationship Id="rId18" Type="http://schemas.openxmlformats.org/officeDocument/2006/relationships/hyperlink" Target="https://drawdown.org/sites/default/files/solution_references/Drawdown2020_MultistrataAgroforestry_References.pdf" TargetMode="External"/><Relationship Id="rId3" Type="http://schemas.openxmlformats.org/officeDocument/2006/relationships/settings" Target="settings.xml"/><Relationship Id="rId21" Type="http://schemas.openxmlformats.org/officeDocument/2006/relationships/image" Target="media/image4.png"/><Relationship Id="rId7" Type="http://schemas.openxmlformats.org/officeDocument/2006/relationships/hyperlink" Target="https://onlinelibrary.wiley.com/doi/full/10.1111/gcb.14844" TargetMode="External"/><Relationship Id="rId12" Type="http://schemas.openxmlformats.org/officeDocument/2006/relationships/hyperlink" Target="https://drawdown.org/solutions/perennial-staple-crops" TargetMode="External"/><Relationship Id="rId17" Type="http://schemas.openxmlformats.org/officeDocument/2006/relationships/image" Target="media/image3.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drawdown.org/solutions/multistrata-agroforestry" TargetMode="External"/><Relationship Id="rId20" Type="http://schemas.openxmlformats.org/officeDocument/2006/relationships/hyperlink" Target="https://unfccc.int/files/focus/long-term_strategies/application/pdf/mid_century_strategy_report-final_red.pdf" TargetMode="External"/><Relationship Id="rId1" Type="http://schemas.openxmlformats.org/officeDocument/2006/relationships/numbering" Target="numbering.xml"/><Relationship Id="rId6" Type="http://schemas.openxmlformats.org/officeDocument/2006/relationships/hyperlink" Target="https://doi.org/10.1111/gcb.14815" TargetMode="External"/><Relationship Id="rId11" Type="http://schemas.openxmlformats.org/officeDocument/2006/relationships/hyperlink" Target="https://drawdown.org/solutions/regenerative-annual-cropping/technical-summary" TargetMode="External"/><Relationship Id="rId24" Type="http://schemas.openxmlformats.org/officeDocument/2006/relationships/fontTable" Target="fontTable.xml"/><Relationship Id="rId5" Type="http://schemas.openxmlformats.org/officeDocument/2006/relationships/hyperlink" Target="https://www.pnas.org/content/pnas/114/44/11645.full.pdf" TargetMode="External"/><Relationship Id="rId15" Type="http://schemas.openxmlformats.org/officeDocument/2006/relationships/hyperlink" Target="https://drawdown.org/solutions/perennial-staple-crops/technical-summary" TargetMode="External"/><Relationship Id="rId23" Type="http://schemas.openxmlformats.org/officeDocument/2006/relationships/image" Target="media/image5.png"/><Relationship Id="rId10" Type="http://schemas.openxmlformats.org/officeDocument/2006/relationships/hyperlink" Target="https://drawdown.org/sites/default/files/solution_references/Drawdown2020_RegenerativeAnnualCropping_References.pdf" TargetMode="External"/><Relationship Id="rId19" Type="http://schemas.openxmlformats.org/officeDocument/2006/relationships/hyperlink" Target="https://drawdown.org/solutions/multistrata-agroforestry/technical-summary" TargetMode="Externa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s://drawdown.org/sites/default/files/solution_references/Drawdown2020_PerennialStapleCrops_References.pdf" TargetMode="External"/><Relationship Id="rId22" Type="http://schemas.openxmlformats.org/officeDocument/2006/relationships/hyperlink" Target="https://advances.sciencemag.org/content/advances/4/11/eaat1869.full.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8</Pages>
  <Words>2869</Words>
  <Characters>16355</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Eleanor Saunders</dc:creator>
  <cp:keywords/>
  <dc:description/>
  <cp:lastModifiedBy>Eleanor Saunders</cp:lastModifiedBy>
  <cp:revision>3</cp:revision>
  <dcterms:created xsi:type="dcterms:W3CDTF">2020-05-01T16:46:00Z</dcterms:created>
  <dcterms:modified xsi:type="dcterms:W3CDTF">2020-05-01T16:51:00Z</dcterms:modified>
</cp:coreProperties>
</file>